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700"/>
        <w:jc w:val="left"/>
      </w:pPr>
      <w:r>
        <w:rPr>
          <w:b/>
          <w:i w:val="0"/>
          <w:color w:val="1F7A8C"/>
          <w:sz w:val="26"/>
        </w:rPr>
        <w:t>TURAM</w:t>
      </w:r>
    </w:p>
    <w:p>
      <w:pPr>
        <w:pStyle w:val="Title"/>
        <w:spacing w:before="40" w:after="140"/>
      </w:pPr>
      <w:r>
        <w:rPr>
          <w:b/>
          <w:i w:val="0"/>
          <w:color w:val="17324D"/>
          <w:sz w:val="62"/>
        </w:rPr>
        <w:t>Büyük Veri ve İleri Analitik</w:t>
        <w:br/>
        <w:t>Hizmetleri</w:t>
      </w:r>
    </w:p>
    <w:p>
      <w:pPr>
        <w:spacing w:after="440"/>
      </w:pPr>
      <w:r>
        <w:rPr>
          <w:b/>
          <w:i w:val="0"/>
          <w:color w:val="D7A84B"/>
          <w:sz w:val="32"/>
        </w:rPr>
        <w:t>Örnek Otel Analitik Raporu</w:t>
      </w:r>
    </w:p>
    <w:tbl>
      <w:tblPr>
        <w:tblW w:type="auto" w:w="0"/>
        <w:tblLook w:firstColumn="1" w:firstRow="1" w:lastColumn="0" w:lastRow="0" w:noHBand="0" w:noVBand="1" w:val="04A0"/>
      </w:tblPr>
      <w:tblGrid>
        <w:gridCol w:w="10166"/>
      </w:tblGrid>
      <w:tr>
        <w:tc>
          <w:tcPr>
            <w:tcW w:type="dxa" w:w="10166"/>
            <w:shd w:fill="F4F7F9"/>
            <w:tcMar>
              <w:top w:w="180" w:type="dxa"/>
              <w:start w:w="180" w:type="dxa"/>
              <w:bottom w:w="180" w:type="dxa"/>
              <w:end w:w="180" w:type="dxa"/>
            </w:tcMar>
            <w:tcBorders>
              <w:left w:val="single" w:sz="22" w:color="D7A84B"/>
            </w:tcBorders>
          </w:tcPr>
          <w:p>
            <w:r>
              <w:rPr>
                <w:b w:val="0"/>
                <w:i w:val="0"/>
                <w:color w:val="243442"/>
                <w:sz w:val="22"/>
              </w:rPr>
              <w:t>320 odalı kurgusal bir resort otel senaryosu üzerinden talep tahmini, kanal performansı, RFM tabanlı misafir segmentasyonu, konu bazlı duygu analizi ve churn risk modellemesini örnekler.</w:t>
            </w:r>
          </w:p>
          <w:p>
            <w:r>
              <w:rPr>
                <w:b/>
                <w:i w:val="0"/>
                <w:color w:val="17324D"/>
                <w:sz w:val="18"/>
              </w:rPr>
              <w:t>Bu dokümandaki tüm sayısal değerler, kişi ve işletme bilgileri gösterim amacıyla sentetik olarak üretilmiştir.</w:t>
            </w:r>
          </w:p>
        </w:tc>
      </w:tr>
    </w:tbl>
    <w:p>
      <w:pPr>
        <w:spacing w:before="560"/>
      </w:pPr>
      <w:r>
        <w:rPr>
          <w:b/>
          <w:i w:val="0"/>
          <w:color w:val="17324D"/>
          <w:sz w:val="22"/>
        </w:rPr>
        <w:t>Raporun amacı</w:t>
      </w:r>
    </w:p>
    <w:p>
      <w:r>
        <w:rPr>
          <w:b w:val="0"/>
          <w:i w:val="0"/>
          <w:color w:val="243442"/>
          <w:sz w:val="21"/>
        </w:rPr>
        <w:t>İşletme verisinin yalnızca betimlenmesini değil, operasyonel kararları destekleyecek analitik çıktılara nasıl dönüştürülebileceğini göstermek.</w:t>
      </w:r>
    </w:p>
    <w:p>
      <w:pPr>
        <w:spacing w:before="1700"/>
        <w:jc w:val="left"/>
      </w:pPr>
      <w:r>
        <w:rPr>
          <w:b/>
          <w:i w:val="0"/>
          <w:color w:val="637381"/>
          <w:sz w:val="17"/>
        </w:rPr>
        <w:t>ÖRNEK RAPOR  |  2026</w:t>
      </w:r>
    </w:p>
    <w:p>
      <w:r>
        <w:br w:type="page"/>
      </w:r>
    </w:p>
    <w:p>
      <w:pPr>
        <w:pStyle w:val="Heading1"/>
        <w:keepNext/>
        <w:pBdr>
          <w:bottom w:val="single" w:sz="16" w:space="3" w:color="D7A84B"/>
        </w:pBdr>
      </w:pPr>
      <w:r>
        <w:rPr>
          <w:b/>
          <w:color w:val="17324D"/>
        </w:rPr>
        <w:t>01. Yönetici Özeti</w:t>
      </w:r>
    </w:p>
    <w:p>
      <w:pPr>
        <w:spacing w:after="160"/>
      </w:pPr>
      <w:r>
        <w:rPr>
          <w:b w:val="0"/>
          <w:i/>
          <w:color w:val="637381"/>
          <w:sz w:val="19"/>
        </w:rPr>
        <w:t>Bir bakışta örnek analitik bulgular ve öncelikli yönetim aksiyonları</w:t>
      </w:r>
    </w:p>
    <w:p>
      <w:r>
        <w:rPr>
          <w:b w:val="0"/>
          <w:i w:val="0"/>
          <w:color w:val="243442"/>
          <w:sz w:val="20"/>
        </w:rPr>
        <w:t>Bu örnek çalışma; PMS, CRM, rezervasyon kanalları ve çevrim içi yorum verilerinin aynı karar çerçevesinde ele alınabileceğini göstermektedir. Çıktılar, tahmin, segmentasyon, metin analitiği ve churn modellemesini yönetim aksiyonlarıyla ilişkilendirecek biçimde düzenlenmiştir.</w:t>
      </w:r>
    </w:p>
    <w:tbl>
      <w:tblPr>
        <w:tblW w:type="auto" w:w="0"/>
        <w:jc w:val="center"/>
        <w:tblLayout w:type="fixed"/>
        <w:tblLook w:firstColumn="1" w:firstRow="1" w:lastColumn="0" w:lastRow="0" w:noHBand="0" w:noVBand="1" w:val="04A0"/>
      </w:tblPr>
      <w:tblGrid>
        <w:gridCol w:w="2541"/>
        <w:gridCol w:w="2541"/>
        <w:gridCol w:w="2541"/>
        <w:gridCol w:w="2541"/>
      </w:tblGrid>
      <w:tr>
        <w:tc>
          <w:tcPr>
            <w:tcW w:type="dxa" w:w="2477"/>
            <w:shd w:fill="EAF4F5"/>
            <w:tcMar>
              <w:top w:w="130" w:type="dxa"/>
              <w:start w:w="100" w:type="dxa"/>
              <w:bottom w:w="130" w:type="dxa"/>
              <w:end w:w="100" w:type="dxa"/>
            </w:tcMar>
            <w:tcBorders>
              <w:top w:val="single" w:sz="6" w:color="E2E8EC"/>
              <w:left w:val="single" w:sz="6" w:color="E2E8EC"/>
              <w:bottom w:val="single" w:sz="6" w:color="E2E8EC"/>
              <w:right w:val="single" w:sz="6" w:color="E2E8EC"/>
            </w:tcBorders>
          </w:tcPr>
          <w:p>
            <w:pPr>
              <w:jc w:val="center"/>
            </w:pPr>
            <w:r>
              <w:rPr>
                <w:b/>
                <w:i w:val="0"/>
                <w:color w:val="17324D"/>
                <w:sz w:val="40"/>
              </w:rPr>
              <w:t>%77</w:t>
            </w:r>
          </w:p>
          <w:p>
            <w:pPr>
              <w:jc w:val="center"/>
            </w:pPr>
            <w:r>
              <w:rPr>
                <w:b/>
                <w:i w:val="0"/>
                <w:color w:val="243442"/>
                <w:sz w:val="18"/>
              </w:rPr>
              <w:t>8. Hafta Tahmini Doluluk</w:t>
            </w:r>
          </w:p>
          <w:p>
            <w:pPr>
              <w:jc w:val="center"/>
            </w:pPr>
            <w:r>
              <w:rPr>
                <w:b w:val="0"/>
                <w:i w:val="0"/>
                <w:color w:val="637381"/>
                <w:sz w:val="15"/>
              </w:rPr>
              <w:t>6. haftada %91 zirve</w:t>
            </w:r>
          </w:p>
        </w:tc>
        <w:tc>
          <w:tcPr>
            <w:tcW w:type="dxa" w:w="2477"/>
            <w:shd w:fill="F4F7F9"/>
            <w:tcMar>
              <w:top w:w="130" w:type="dxa"/>
              <w:start w:w="100" w:type="dxa"/>
              <w:bottom w:w="130" w:type="dxa"/>
              <w:end w:w="100" w:type="dxa"/>
            </w:tcMar>
            <w:tcBorders>
              <w:top w:val="single" w:sz="6" w:color="E2E8EC"/>
              <w:left w:val="single" w:sz="6" w:color="E2E8EC"/>
              <w:bottom w:val="single" w:sz="6" w:color="E2E8EC"/>
              <w:right w:val="single" w:sz="6" w:color="E2E8EC"/>
            </w:tcBorders>
          </w:tcPr>
          <w:p>
            <w:pPr>
              <w:jc w:val="center"/>
            </w:pPr>
            <w:r>
              <w:rPr>
                <w:b/>
                <w:i w:val="0"/>
                <w:color w:val="17324D"/>
                <w:sz w:val="40"/>
              </w:rPr>
              <w:t>%38</w:t>
            </w:r>
          </w:p>
          <w:p>
            <w:pPr>
              <w:jc w:val="center"/>
            </w:pPr>
            <w:r>
              <w:rPr>
                <w:b/>
                <w:i w:val="0"/>
                <w:color w:val="243442"/>
                <w:sz w:val="18"/>
              </w:rPr>
              <w:t>Direct Web Payı</w:t>
            </w:r>
          </w:p>
          <w:p>
            <w:pPr>
              <w:jc w:val="center"/>
            </w:pPr>
            <w:r>
              <w:rPr>
                <w:b w:val="0"/>
                <w:i w:val="0"/>
                <w:color w:val="637381"/>
                <w:sz w:val="15"/>
              </w:rPr>
              <w:t>OTA payı %44</w:t>
            </w:r>
          </w:p>
        </w:tc>
        <w:tc>
          <w:tcPr>
            <w:tcW w:type="dxa" w:w="2477"/>
            <w:shd w:fill="FBF5E8"/>
            <w:tcMar>
              <w:top w:w="130" w:type="dxa"/>
              <w:start w:w="100" w:type="dxa"/>
              <w:bottom w:w="130" w:type="dxa"/>
              <w:end w:w="100" w:type="dxa"/>
            </w:tcMar>
            <w:tcBorders>
              <w:top w:val="single" w:sz="6" w:color="E2E8EC"/>
              <w:left w:val="single" w:sz="6" w:color="E2E8EC"/>
              <w:bottom w:val="single" w:sz="6" w:color="E2E8EC"/>
              <w:right w:val="single" w:sz="6" w:color="E2E8EC"/>
            </w:tcBorders>
          </w:tcPr>
          <w:p>
            <w:pPr>
              <w:jc w:val="center"/>
            </w:pPr>
            <w:r>
              <w:rPr>
                <w:b/>
                <w:i w:val="0"/>
                <w:color w:val="17324D"/>
                <w:sz w:val="40"/>
              </w:rPr>
              <w:t>%8</w:t>
            </w:r>
          </w:p>
          <w:p>
            <w:pPr>
              <w:jc w:val="center"/>
            </w:pPr>
            <w:r>
              <w:rPr>
                <w:b/>
                <w:i w:val="0"/>
                <w:color w:val="243442"/>
                <w:sz w:val="18"/>
              </w:rPr>
              <w:t>Yüksek Churn Riski</w:t>
            </w:r>
          </w:p>
          <w:p>
            <w:pPr>
              <w:jc w:val="center"/>
            </w:pPr>
            <w:r>
              <w:rPr>
                <w:b w:val="0"/>
                <w:i w:val="0"/>
                <w:color w:val="637381"/>
                <w:sz w:val="15"/>
              </w:rPr>
              <w:t>Sadakat tabanı içinde</w:t>
            </w:r>
          </w:p>
        </w:tc>
        <w:tc>
          <w:tcPr>
            <w:tcW w:type="dxa" w:w="2477"/>
            <w:shd w:fill="EAF4F5"/>
            <w:tcMar>
              <w:top w:w="130" w:type="dxa"/>
              <w:start w:w="100" w:type="dxa"/>
              <w:bottom w:w="130" w:type="dxa"/>
              <w:end w:w="100" w:type="dxa"/>
            </w:tcMar>
            <w:tcBorders>
              <w:top w:val="single" w:sz="6" w:color="E2E8EC"/>
              <w:left w:val="single" w:sz="6" w:color="E2E8EC"/>
              <w:bottom w:val="single" w:sz="6" w:color="E2E8EC"/>
              <w:right w:val="single" w:sz="6" w:color="E2E8EC"/>
            </w:tcBorders>
          </w:tcPr>
          <w:p>
            <w:pPr>
              <w:jc w:val="center"/>
            </w:pPr>
            <w:r>
              <w:rPr>
                <w:b/>
                <w:i w:val="0"/>
                <w:color w:val="17324D"/>
                <w:sz w:val="40"/>
              </w:rPr>
              <w:t>Check-in</w:t>
            </w:r>
          </w:p>
          <w:p>
            <w:pPr>
              <w:jc w:val="center"/>
            </w:pPr>
            <w:r>
              <w:rPr>
                <w:b/>
                <w:i w:val="0"/>
                <w:color w:val="243442"/>
                <w:sz w:val="18"/>
              </w:rPr>
              <w:t>En Kritik Deneyim Konusu</w:t>
            </w:r>
          </w:p>
          <w:p>
            <w:pPr>
              <w:jc w:val="center"/>
            </w:pPr>
            <w:r>
              <w:rPr>
                <w:b w:val="0"/>
                <w:i w:val="0"/>
                <w:color w:val="637381"/>
                <w:sz w:val="15"/>
              </w:rPr>
              <w:t>%31 olumsuz duygu</w:t>
            </w:r>
          </w:p>
        </w:tc>
      </w:tr>
    </w:tbl>
    <w:p/>
    <w:tbl>
      <w:tblPr>
        <w:tblW w:type="auto" w:w="0"/>
        <w:jc w:val="center"/>
        <w:tblLook w:firstColumn="1" w:firstRow="1" w:lastColumn="0" w:lastRow="0" w:noHBand="0" w:noVBand="1" w:val="04A0"/>
      </w:tblPr>
      <w:tblGrid>
        <w:gridCol w:w="10166"/>
      </w:tblGrid>
      <w:tr>
        <w:tc>
          <w:tcPr>
            <w:tcW w:type="dxa" w:w="10166"/>
            <w:shd w:fill="FBF5E8"/>
            <w:tcMar>
              <w:top w:w="130" w:type="dxa"/>
              <w:start w:w="160" w:type="dxa"/>
              <w:bottom w:w="130" w:type="dxa"/>
              <w:end w:w="160" w:type="dxa"/>
            </w:tcMar>
            <w:tcBorders>
              <w:left w:val="single" w:sz="18" w:color="1F7A8C"/>
            </w:tcBorders>
          </w:tcPr>
          <w:p>
            <w:r>
              <w:rPr>
                <w:b/>
                <w:i w:val="0"/>
                <w:color w:val="17324D"/>
                <w:sz w:val="21"/>
              </w:rPr>
              <w:t>Öne çıkan yönetim içgörüsü</w:t>
            </w:r>
          </w:p>
          <w:p>
            <w:pPr>
              <w:spacing w:after="0"/>
            </w:pPr>
            <w:r>
              <w:rPr>
                <w:b w:val="0"/>
                <w:i w:val="0"/>
                <w:color w:val="243442"/>
                <w:sz w:val="18"/>
              </w:rPr>
              <w:t>Genel memnuniyet yüksek görünse de konu bazlı analiz, olumsuzluğun özellikle check-in/resepsiyon ve oda-temizlik deneyimlerinde yoğunlaştığını göstermektedir. Aynı dönemde OTA kanalındaki yüksek iptal oranı ve yüksek değerli misafirlerdeki davranışsal yavaşlama, gelir ve CRM aksiyonlarının birlikte ele alınmasını gerektirir.</w:t>
            </w:r>
          </w:p>
        </w:tc>
      </w:tr>
    </w:tbl>
    <w:p>
      <w:pPr>
        <w:pStyle w:val="Heading2"/>
      </w:pPr>
      <w:r>
        <w:t>Önerilen öncelikler</w:t>
      </w:r>
    </w:p>
    <w:p>
      <w:pPr>
        <w:pStyle w:val="ListBullet"/>
        <w:spacing w:after="80"/>
      </w:pPr>
      <w:r>
        <w:rPr>
          <w:b w:val="0"/>
          <w:i w:val="0"/>
          <w:color w:val="243442"/>
          <w:sz w:val="19"/>
        </w:rPr>
        <w:t>Yüksek booking-pickup görülen haftalarda indirim envanterini kademeli olarak daraltmak ve fiyat korumasını güçlendirmek.</w:t>
      </w:r>
    </w:p>
    <w:p>
      <w:pPr>
        <w:pStyle w:val="ListBullet"/>
        <w:spacing w:after="80"/>
      </w:pPr>
      <w:r>
        <w:rPr>
          <w:b w:val="0"/>
          <w:i w:val="0"/>
          <w:color w:val="243442"/>
          <w:sz w:val="19"/>
        </w:rPr>
        <w:t>Direct web kanalında sadakat üyesi ve tekrar misafir odaklı dönüşüm kampanyaları yürütmek.</w:t>
      </w:r>
    </w:p>
    <w:p>
      <w:pPr>
        <w:pStyle w:val="ListBullet"/>
        <w:spacing w:after="80"/>
      </w:pPr>
      <w:r>
        <w:rPr>
          <w:b w:val="0"/>
          <w:i w:val="0"/>
          <w:color w:val="243442"/>
          <w:sz w:val="19"/>
        </w:rPr>
        <w:t>Check-in süresi ve oda-temizlik temas noktaları için operasyonel kök neden incelemesi başlatmak.</w:t>
      </w:r>
    </w:p>
    <w:p>
      <w:pPr>
        <w:pStyle w:val="ListBullet"/>
        <w:spacing w:after="80"/>
      </w:pPr>
      <w:r>
        <w:rPr>
          <w:b w:val="0"/>
          <w:i w:val="0"/>
          <w:color w:val="243442"/>
          <w:sz w:val="19"/>
        </w:rPr>
        <w:t>Yüksek değerli fakat sıklığı düşen misafirler için kişiselleştirilmiş geri kazanım aksiyonu uygulamak.</w:t>
      </w:r>
    </w:p>
    <w:p>
      <w:pPr>
        <w:pStyle w:val="Heading1"/>
        <w:keepNext/>
        <w:pBdr>
          <w:bottom w:val="single" w:sz="16" w:space="3" w:color="D7A84B"/>
        </w:pBdr>
      </w:pPr>
      <w:r>
        <w:rPr>
          <w:b/>
          <w:color w:val="17324D"/>
        </w:rPr>
        <w:t>02. Veri Kapsamı ve Analitik Yaklaşım</w:t>
      </w:r>
    </w:p>
    <w:p>
      <w:pPr>
        <w:spacing w:after="160"/>
      </w:pPr>
      <w:r>
        <w:rPr>
          <w:b w:val="0"/>
          <w:i/>
          <w:color w:val="637381"/>
          <w:sz w:val="19"/>
        </w:rPr>
        <w:t>Veri kaynakları, veri güvenliği ve modelleme mantığı</w:t>
      </w:r>
    </w:p>
    <w:p>
      <w:r>
        <w:rPr>
          <w:b w:val="0"/>
          <w:i w:val="0"/>
          <w:color w:val="243442"/>
          <w:sz w:val="19"/>
        </w:rPr>
        <w:t>Analizde kullanılabilecek operasyonel ve dijital veriler, Kişisel Verilerin Korunması Kanunu'na (KVKK) uygun biçimde anonimleştirilmiş veya takma adlandırılmış (pseudonymized) formatta işlenir. Kişisel kimlik bilgileri analiz öncesinde maskelenir; raporlama toplulaştırılmış düzeyde yapılır.</w:t>
      </w:r>
    </w:p>
    <w:tbl>
      <w:tblPr>
        <w:tblW w:type="auto" w:w="0"/>
        <w:jc w:val="center"/>
        <w:tblLayout w:type="fixed"/>
        <w:tblLook w:firstColumn="1" w:firstRow="1" w:lastColumn="0" w:lastRow="0" w:noHBand="0" w:noVBand="1" w:val="04A0"/>
      </w:tblPr>
      <w:tblGrid>
        <w:gridCol w:w="3389"/>
        <w:gridCol w:w="3389"/>
        <w:gridCol w:w="3389"/>
      </w:tblGrid>
      <w:tr>
        <w:tc>
          <w:tcPr>
            <w:tcW w:type="dxa" w:w="3168"/>
            <w:shd w:fill="F4F7F9"/>
            <w:tcMar>
              <w:top w:w="130" w:type="dxa"/>
              <w:start w:w="120" w:type="dxa"/>
              <w:bottom w:w="130" w:type="dxa"/>
              <w:end w:w="120" w:type="dxa"/>
            </w:tcMar>
            <w:tcBorders>
              <w:top w:val="single" w:sz="6" w:color="DDE4E8"/>
              <w:left w:val="single" w:sz="6" w:color="DDE4E8"/>
              <w:bottom w:val="single" w:sz="6" w:color="DDE4E8"/>
              <w:right w:val="single" w:sz="6" w:color="DDE4E8"/>
            </w:tcBorders>
          </w:tcPr>
          <w:p>
            <w:pPr>
              <w:jc w:val="center"/>
            </w:pPr>
            <w:r>
              <w:rPr>
                <w:b/>
                <w:i w:val="0"/>
                <w:color w:val="17324D"/>
                <w:sz w:val="18"/>
              </w:rPr>
              <w:t>VERİ KAYNAKLARI</w:t>
            </w:r>
          </w:p>
          <w:p>
            <w:pPr>
              <w:spacing w:after="40"/>
              <w:jc w:val="center"/>
            </w:pPr>
            <w:r>
              <w:rPr>
                <w:b w:val="0"/>
                <w:i w:val="0"/>
                <w:color w:val="243442"/>
                <w:sz w:val="16"/>
              </w:rPr>
              <w:t>PMS ve rezervasyon</w:t>
            </w:r>
          </w:p>
          <w:p>
            <w:pPr>
              <w:spacing w:after="40"/>
              <w:jc w:val="center"/>
            </w:pPr>
            <w:r>
              <w:rPr>
                <w:b w:val="0"/>
                <w:i w:val="0"/>
                <w:color w:val="243442"/>
                <w:sz w:val="16"/>
              </w:rPr>
              <w:t>CRM ve sadakat</w:t>
            </w:r>
          </w:p>
          <w:p>
            <w:pPr>
              <w:spacing w:after="40"/>
              <w:jc w:val="center"/>
            </w:pPr>
            <w:r>
              <w:rPr>
                <w:b w:val="0"/>
                <w:i w:val="0"/>
                <w:color w:val="243442"/>
                <w:sz w:val="16"/>
              </w:rPr>
              <w:t>Web / OTA kanal verisi</w:t>
            </w:r>
          </w:p>
          <w:p>
            <w:pPr>
              <w:spacing w:after="40"/>
              <w:jc w:val="center"/>
            </w:pPr>
            <w:r>
              <w:rPr>
                <w:b w:val="0"/>
                <w:i w:val="0"/>
                <w:color w:val="243442"/>
                <w:sz w:val="16"/>
              </w:rPr>
              <w:t>Çevrim içi yorumlar</w:t>
            </w:r>
          </w:p>
        </w:tc>
        <w:tc>
          <w:tcPr>
            <w:tcW w:type="dxa" w:w="3168"/>
            <w:shd w:fill="EAF4F5"/>
            <w:tcMar>
              <w:top w:w="130" w:type="dxa"/>
              <w:start w:w="120" w:type="dxa"/>
              <w:bottom w:w="130" w:type="dxa"/>
              <w:end w:w="120" w:type="dxa"/>
            </w:tcMar>
            <w:tcBorders>
              <w:top w:val="single" w:sz="6" w:color="DDE4E8"/>
              <w:left w:val="single" w:sz="6" w:color="DDE4E8"/>
              <w:bottom w:val="single" w:sz="6" w:color="DDE4E8"/>
              <w:right w:val="single" w:sz="6" w:color="DDE4E8"/>
            </w:tcBorders>
          </w:tcPr>
          <w:p>
            <w:pPr>
              <w:jc w:val="center"/>
            </w:pPr>
            <w:r>
              <w:rPr>
                <w:b/>
                <w:i w:val="0"/>
                <w:color w:val="17324D"/>
                <w:sz w:val="18"/>
              </w:rPr>
              <w:t>ANALİTİK</w:t>
            </w:r>
          </w:p>
          <w:p>
            <w:pPr>
              <w:spacing w:after="40"/>
              <w:jc w:val="center"/>
            </w:pPr>
            <w:r>
              <w:rPr>
                <w:b w:val="0"/>
                <w:i w:val="0"/>
                <w:color w:val="243442"/>
                <w:sz w:val="16"/>
              </w:rPr>
              <w:t>Talep tahmini</w:t>
            </w:r>
          </w:p>
          <w:p>
            <w:pPr>
              <w:spacing w:after="40"/>
              <w:jc w:val="center"/>
            </w:pPr>
            <w:r>
              <w:rPr>
                <w:b w:val="0"/>
                <w:i w:val="0"/>
                <w:color w:val="243442"/>
                <w:sz w:val="16"/>
              </w:rPr>
              <w:t>RFM segmentasyonu</w:t>
            </w:r>
          </w:p>
          <w:p>
            <w:pPr>
              <w:spacing w:after="40"/>
              <w:jc w:val="center"/>
            </w:pPr>
            <w:r>
              <w:rPr>
                <w:b w:val="0"/>
                <w:i w:val="0"/>
                <w:color w:val="243442"/>
                <w:sz w:val="16"/>
              </w:rPr>
              <w:t>Topic + sentiment</w:t>
            </w:r>
          </w:p>
          <w:p>
            <w:pPr>
              <w:spacing w:after="40"/>
              <w:jc w:val="center"/>
            </w:pPr>
            <w:r>
              <w:rPr>
                <w:b w:val="0"/>
                <w:i w:val="0"/>
                <w:color w:val="243442"/>
                <w:sz w:val="16"/>
              </w:rPr>
              <w:t>Churn modelleme</w:t>
            </w:r>
          </w:p>
        </w:tc>
        <w:tc>
          <w:tcPr>
            <w:tcW w:type="dxa" w:w="3168"/>
            <w:shd w:fill="FBF5E8"/>
            <w:tcMar>
              <w:top w:w="130" w:type="dxa"/>
              <w:start w:w="120" w:type="dxa"/>
              <w:bottom w:w="130" w:type="dxa"/>
              <w:end w:w="120" w:type="dxa"/>
            </w:tcMar>
            <w:tcBorders>
              <w:top w:val="single" w:sz="6" w:color="DDE4E8"/>
              <w:left w:val="single" w:sz="6" w:color="DDE4E8"/>
              <w:bottom w:val="single" w:sz="6" w:color="DDE4E8"/>
              <w:right w:val="single" w:sz="6" w:color="DDE4E8"/>
            </w:tcBorders>
          </w:tcPr>
          <w:p>
            <w:pPr>
              <w:jc w:val="center"/>
            </w:pPr>
            <w:r>
              <w:rPr>
                <w:b/>
                <w:i w:val="0"/>
                <w:color w:val="17324D"/>
                <w:sz w:val="18"/>
              </w:rPr>
              <w:t>YÖNETİM AKSİYONU</w:t>
            </w:r>
          </w:p>
          <w:p>
            <w:pPr>
              <w:spacing w:after="40"/>
              <w:jc w:val="center"/>
            </w:pPr>
            <w:r>
              <w:rPr>
                <w:b w:val="0"/>
                <w:i w:val="0"/>
                <w:color w:val="243442"/>
                <w:sz w:val="16"/>
              </w:rPr>
              <w:t>Fiyat &amp; envanter</w:t>
            </w:r>
          </w:p>
          <w:p>
            <w:pPr>
              <w:spacing w:after="40"/>
              <w:jc w:val="center"/>
            </w:pPr>
            <w:r>
              <w:rPr>
                <w:b w:val="0"/>
                <w:i w:val="0"/>
                <w:color w:val="243442"/>
                <w:sz w:val="16"/>
              </w:rPr>
              <w:t>Kanal stratejisi</w:t>
            </w:r>
          </w:p>
          <w:p>
            <w:pPr>
              <w:spacing w:after="40"/>
              <w:jc w:val="center"/>
            </w:pPr>
            <w:r>
              <w:rPr>
                <w:b w:val="0"/>
                <w:i w:val="0"/>
                <w:color w:val="243442"/>
                <w:sz w:val="16"/>
              </w:rPr>
              <w:t>Deneyim iyileştirme</w:t>
            </w:r>
          </w:p>
          <w:p>
            <w:pPr>
              <w:spacing w:after="40"/>
              <w:jc w:val="center"/>
            </w:pPr>
            <w:r>
              <w:rPr>
                <w:b w:val="0"/>
                <w:i w:val="0"/>
                <w:color w:val="243442"/>
                <w:sz w:val="16"/>
              </w:rPr>
              <w:t>CRM geri kazanım</w:t>
            </w:r>
          </w:p>
        </w:tc>
      </w:tr>
    </w:tbl>
    <w:p/>
    <w:tbl>
      <w:tblPr>
        <w:tblW w:type="auto" w:w="0"/>
        <w:jc w:val="center"/>
        <w:tblLook w:firstColumn="1" w:firstRow="1" w:lastColumn="0" w:lastRow="0" w:noHBand="0" w:noVBand="1" w:val="04A0"/>
      </w:tblPr>
      <w:tblGrid>
        <w:gridCol w:w="10166"/>
      </w:tblGrid>
      <w:tr>
        <w:tc>
          <w:tcPr>
            <w:tcW w:type="dxa" w:w="10166"/>
            <w:shd w:fill="F4F7F9"/>
            <w:tcMar>
              <w:top w:w="130" w:type="dxa"/>
              <w:start w:w="160" w:type="dxa"/>
              <w:bottom w:w="130" w:type="dxa"/>
              <w:end w:w="160" w:type="dxa"/>
            </w:tcMar>
            <w:tcBorders>
              <w:left w:val="single" w:sz="18" w:color="1F7A8C"/>
            </w:tcBorders>
          </w:tcPr>
          <w:p>
            <w:r>
              <w:rPr>
                <w:b/>
                <w:i w:val="0"/>
                <w:color w:val="17324D"/>
                <w:sz w:val="21"/>
              </w:rPr>
              <w:t>Model notu</w:t>
            </w:r>
          </w:p>
          <w:p>
            <w:pPr>
              <w:spacing w:after="0"/>
            </w:pPr>
            <w:r>
              <w:rPr>
                <w:b w:val="0"/>
                <w:i w:val="0"/>
                <w:color w:val="243442"/>
                <w:sz w:val="18"/>
              </w:rPr>
              <w:t>Bu dokümanda gösterilen model türleri ve değişkenler örnektir. Gerçek projede algoritma, veri kalitesi ve doğrulama performansına göre seçilir; açıklanabilirlik ve operasyonel kullanılabilirlik birlikte değerlendirilir.</w:t>
            </w:r>
          </w:p>
        </w:tc>
      </w:tr>
    </w:tbl>
    <w:p>
      <w:pPr>
        <w:pStyle w:val="Heading1"/>
        <w:keepNext/>
        <w:pBdr>
          <w:bottom w:val="single" w:sz="16" w:space="3" w:color="D7A84B"/>
        </w:pBdr>
      </w:pPr>
      <w:r>
        <w:rPr>
          <w:b/>
          <w:color w:val="17324D"/>
        </w:rPr>
        <w:t>03. Talep Tahmini, Doluluk ve Kanal Performansı</w:t>
      </w:r>
    </w:p>
    <w:p>
      <w:pPr>
        <w:spacing w:after="160"/>
      </w:pPr>
      <w:r>
        <w:rPr>
          <w:b w:val="0"/>
          <w:i/>
          <w:color w:val="637381"/>
          <w:sz w:val="19"/>
        </w:rPr>
        <w:t>Rezervasyon hızını, kanal karmasını ve iptal davranışını birlikte okumak</w:t>
      </w:r>
    </w:p>
    <w:p>
      <w:r>
        <w:rPr>
          <w:b w:val="0"/>
          <w:i w:val="0"/>
          <w:color w:val="243442"/>
          <w:sz w:val="19"/>
        </w:rPr>
        <w:t>Doluluk tahmininin yalnızca geçmiş doluluk oranına dayandırılması yerine; mevcut rezervasyon seviyesi, booking pickup, lead time, sezon, gün tipi, fiyat, kanal karması ve iptal davranışı birlikte ele alınabilir.</w:t>
      </w:r>
    </w:p>
    <w:p>
      <w:pPr>
        <w:pStyle w:val="Heading2"/>
      </w:pPr>
      <w:r>
        <w:t>Örnek değişken seti</w:t>
      </w:r>
    </w:p>
    <w:tbl>
      <w:tblPr>
        <w:tblW w:type="auto" w:w="0"/>
        <w:jc w:val="center"/>
        <w:tblLayout w:type="fixed"/>
        <w:tblLook w:firstColumn="1" w:firstRow="1" w:lastColumn="0" w:lastRow="0" w:noHBand="0" w:noVBand="1" w:val="04A0"/>
      </w:tblPr>
      <w:tblGrid>
        <w:gridCol w:w="5083"/>
        <w:gridCol w:w="5083"/>
      </w:tblGrid>
      <w:tr>
        <w:trPr>
          <w:tblHeader w:val="true"/>
        </w:trPr>
        <w:tc>
          <w:tcPr>
            <w:tcW w:type="dxa" w:w="2376"/>
            <w:shd w:fill="17324D"/>
            <w:tcMar>
              <w:top w:w="80" w:type="dxa"/>
              <w:start w:w="80" w:type="dxa"/>
              <w:bottom w:w="80" w:type="dxa"/>
              <w:end w:w="80" w:type="dxa"/>
            </w:tcMar>
            <w:vAlign w:val="center"/>
          </w:tcPr>
          <w:p>
            <w:pPr>
              <w:jc w:val="center"/>
            </w:pPr>
            <w:r>
              <w:rPr>
                <w:b/>
                <w:i w:val="0"/>
                <w:color w:val="FFFFFF"/>
                <w:sz w:val="17"/>
              </w:rPr>
              <w:t>Değişken grubu</w:t>
            </w:r>
          </w:p>
        </w:tc>
        <w:tc>
          <w:tcPr>
            <w:tcW w:type="dxa" w:w="7560"/>
            <w:shd w:fill="17324D"/>
            <w:tcMar>
              <w:top w:w="80" w:type="dxa"/>
              <w:start w:w="80" w:type="dxa"/>
              <w:bottom w:w="80" w:type="dxa"/>
              <w:end w:w="80" w:type="dxa"/>
            </w:tcMar>
            <w:vAlign w:val="center"/>
          </w:tcPr>
          <w:p>
            <w:pPr>
              <w:jc w:val="center"/>
            </w:pPr>
            <w:r>
              <w:rPr>
                <w:b/>
                <w:i w:val="0"/>
                <w:color w:val="FFFFFF"/>
                <w:sz w:val="17"/>
              </w:rPr>
              <w:t>Örnek göstergeler</w:t>
            </w:r>
          </w:p>
        </w:tc>
      </w:tr>
      <w:tr>
        <w:tc>
          <w:tcPr>
            <w:tcW w:type="dxa" w:w="2376"/>
            <w:shd w:fill="FFFFFF"/>
            <w:tcMar>
              <w:top w:w="70" w:type="dxa"/>
              <w:start w:w="75" w:type="dxa"/>
              <w:bottom w:w="70" w:type="dxa"/>
              <w:end w:w="75" w:type="dxa"/>
            </w:tcMar>
            <w:vAlign w:val="center"/>
            <w:tcBorders>
              <w:bottom w:val="single" w:sz="4" w:color="E6EBEF"/>
            </w:tcBorders>
          </w:tcPr>
          <w:p>
            <w:pPr>
              <w:jc w:val="left"/>
            </w:pPr>
            <w:r>
              <w:rPr>
                <w:b w:val="0"/>
                <w:i w:val="0"/>
                <w:color w:val="243442"/>
                <w:sz w:val="17"/>
              </w:rPr>
              <w:t>Talep sinyalleri</w:t>
            </w:r>
          </w:p>
        </w:tc>
        <w:tc>
          <w:tcPr>
            <w:tcW w:type="dxa" w:w="7560"/>
            <w:shd w:fill="FFFFFF"/>
            <w:tcMar>
              <w:top w:w="70" w:type="dxa"/>
              <w:start w:w="75" w:type="dxa"/>
              <w:bottom w:w="70" w:type="dxa"/>
              <w:end w:w="75" w:type="dxa"/>
            </w:tcMar>
            <w:vAlign w:val="center"/>
            <w:tcBorders>
              <w:bottom w:val="single" w:sz="4" w:color="E6EBEF"/>
            </w:tcBorders>
          </w:tcPr>
          <w:p>
            <w:pPr>
              <w:jc w:val="left"/>
            </w:pPr>
            <w:r>
              <w:rPr>
                <w:b w:val="0"/>
                <w:i w:val="0"/>
                <w:color w:val="243442"/>
                <w:sz w:val="17"/>
              </w:rPr>
              <w:t>On-the-books doluluk, son 7/14/30 günlük booking pickup, ortalama booking lead time</w:t>
            </w:r>
          </w:p>
        </w:tc>
      </w:tr>
      <w:tr>
        <w:tc>
          <w:tcPr>
            <w:tcW w:type="dxa" w:w="2376"/>
            <w:shd w:fill="F6F8FA"/>
            <w:tcMar>
              <w:top w:w="70" w:type="dxa"/>
              <w:start w:w="75" w:type="dxa"/>
              <w:bottom w:w="70" w:type="dxa"/>
              <w:end w:w="75" w:type="dxa"/>
            </w:tcMar>
            <w:vAlign w:val="center"/>
            <w:tcBorders>
              <w:bottom w:val="single" w:sz="4" w:color="E6EBEF"/>
            </w:tcBorders>
          </w:tcPr>
          <w:p>
            <w:pPr>
              <w:jc w:val="left"/>
            </w:pPr>
            <w:r>
              <w:rPr>
                <w:b w:val="0"/>
                <w:i w:val="0"/>
                <w:color w:val="243442"/>
                <w:sz w:val="17"/>
              </w:rPr>
              <w:t>Fiyat &amp; envanter</w:t>
            </w:r>
          </w:p>
        </w:tc>
        <w:tc>
          <w:tcPr>
            <w:tcW w:type="dxa" w:w="7560"/>
            <w:shd w:fill="F6F8FA"/>
            <w:tcMar>
              <w:top w:w="70" w:type="dxa"/>
              <w:start w:w="75" w:type="dxa"/>
              <w:bottom w:w="70" w:type="dxa"/>
              <w:end w:w="75" w:type="dxa"/>
            </w:tcMar>
            <w:vAlign w:val="center"/>
            <w:tcBorders>
              <w:bottom w:val="single" w:sz="4" w:color="E6EBEF"/>
            </w:tcBorders>
          </w:tcPr>
          <w:p>
            <w:pPr>
              <w:jc w:val="left"/>
            </w:pPr>
            <w:r>
              <w:rPr>
                <w:b w:val="0"/>
                <w:i w:val="0"/>
                <w:color w:val="243442"/>
                <w:sz w:val="17"/>
              </w:rPr>
              <w:t>ADR, oda tipi müsaitliği, promosyon/indirim durumu</w:t>
            </w:r>
          </w:p>
        </w:tc>
      </w:tr>
      <w:tr>
        <w:tc>
          <w:tcPr>
            <w:tcW w:type="dxa" w:w="2376"/>
            <w:shd w:fill="FFFFFF"/>
            <w:tcMar>
              <w:top w:w="70" w:type="dxa"/>
              <w:start w:w="75" w:type="dxa"/>
              <w:bottom w:w="70" w:type="dxa"/>
              <w:end w:w="75" w:type="dxa"/>
            </w:tcMar>
            <w:vAlign w:val="center"/>
            <w:tcBorders>
              <w:bottom w:val="single" w:sz="4" w:color="E6EBEF"/>
            </w:tcBorders>
          </w:tcPr>
          <w:p>
            <w:pPr>
              <w:jc w:val="left"/>
            </w:pPr>
            <w:r>
              <w:rPr>
                <w:b w:val="0"/>
                <w:i w:val="0"/>
                <w:color w:val="243442"/>
                <w:sz w:val="17"/>
              </w:rPr>
              <w:t>Takvim</w:t>
            </w:r>
          </w:p>
        </w:tc>
        <w:tc>
          <w:tcPr>
            <w:tcW w:type="dxa" w:w="7560"/>
            <w:shd w:fill="FFFFFF"/>
            <w:tcMar>
              <w:top w:w="70" w:type="dxa"/>
              <w:start w:w="75" w:type="dxa"/>
              <w:bottom w:w="70" w:type="dxa"/>
              <w:end w:w="75" w:type="dxa"/>
            </w:tcMar>
            <w:vAlign w:val="center"/>
            <w:tcBorders>
              <w:bottom w:val="single" w:sz="4" w:color="E6EBEF"/>
            </w:tcBorders>
          </w:tcPr>
          <w:p>
            <w:pPr>
              <w:jc w:val="left"/>
            </w:pPr>
            <w:r>
              <w:rPr>
                <w:b w:val="0"/>
                <w:i w:val="0"/>
                <w:color w:val="243442"/>
                <w:sz w:val="17"/>
              </w:rPr>
              <w:t>Haftanın günü, ay/sezon, resmi tatil veya yerel etkinlik göstergesi</w:t>
            </w:r>
          </w:p>
        </w:tc>
      </w:tr>
      <w:tr>
        <w:tc>
          <w:tcPr>
            <w:tcW w:type="dxa" w:w="2376"/>
            <w:shd w:fill="F6F8FA"/>
            <w:tcMar>
              <w:top w:w="70" w:type="dxa"/>
              <w:start w:w="75" w:type="dxa"/>
              <w:bottom w:w="70" w:type="dxa"/>
              <w:end w:w="75" w:type="dxa"/>
            </w:tcMar>
            <w:vAlign w:val="center"/>
            <w:tcBorders>
              <w:bottom w:val="single" w:sz="4" w:color="E6EBEF"/>
            </w:tcBorders>
          </w:tcPr>
          <w:p>
            <w:pPr>
              <w:jc w:val="left"/>
            </w:pPr>
            <w:r>
              <w:rPr>
                <w:b w:val="0"/>
                <w:i w:val="0"/>
                <w:color w:val="243442"/>
                <w:sz w:val="17"/>
              </w:rPr>
              <w:t>Dağıtım kanalı</w:t>
            </w:r>
          </w:p>
        </w:tc>
        <w:tc>
          <w:tcPr>
            <w:tcW w:type="dxa" w:w="7560"/>
            <w:shd w:fill="F6F8FA"/>
            <w:tcMar>
              <w:top w:w="70" w:type="dxa"/>
              <w:start w:w="75" w:type="dxa"/>
              <w:bottom w:w="70" w:type="dxa"/>
              <w:end w:w="75" w:type="dxa"/>
            </w:tcMar>
            <w:vAlign w:val="center"/>
            <w:tcBorders>
              <w:bottom w:val="single" w:sz="4" w:color="E6EBEF"/>
            </w:tcBorders>
          </w:tcPr>
          <w:p>
            <w:pPr>
              <w:jc w:val="left"/>
            </w:pPr>
            <w:r>
              <w:rPr>
                <w:b w:val="0"/>
                <w:i w:val="0"/>
                <w:color w:val="243442"/>
                <w:sz w:val="17"/>
              </w:rPr>
              <w:t>OTA payı, direct website payı, tur operatörü payı</w:t>
            </w:r>
          </w:p>
        </w:tc>
      </w:tr>
      <w:tr>
        <w:tc>
          <w:tcPr>
            <w:tcW w:type="dxa" w:w="2376"/>
            <w:shd w:fill="FFFFFF"/>
            <w:tcMar>
              <w:top w:w="70" w:type="dxa"/>
              <w:start w:w="75" w:type="dxa"/>
              <w:bottom w:w="70" w:type="dxa"/>
              <w:end w:w="75" w:type="dxa"/>
            </w:tcMar>
            <w:vAlign w:val="center"/>
            <w:tcBorders>
              <w:bottom w:val="single" w:sz="4" w:color="E6EBEF"/>
            </w:tcBorders>
          </w:tcPr>
          <w:p>
            <w:pPr>
              <w:jc w:val="left"/>
            </w:pPr>
            <w:r>
              <w:rPr>
                <w:b w:val="0"/>
                <w:i w:val="0"/>
                <w:color w:val="243442"/>
                <w:sz w:val="17"/>
              </w:rPr>
              <w:t>İptal davranışı</w:t>
            </w:r>
          </w:p>
        </w:tc>
        <w:tc>
          <w:tcPr>
            <w:tcW w:type="dxa" w:w="7560"/>
            <w:shd w:fill="FFFFFF"/>
            <w:tcMar>
              <w:top w:w="70" w:type="dxa"/>
              <w:start w:w="75" w:type="dxa"/>
              <w:bottom w:w="70" w:type="dxa"/>
              <w:end w:w="75" w:type="dxa"/>
            </w:tcMar>
            <w:vAlign w:val="center"/>
            <w:tcBorders>
              <w:bottom w:val="single" w:sz="4" w:color="E6EBEF"/>
            </w:tcBorders>
          </w:tcPr>
          <w:p>
            <w:pPr>
              <w:jc w:val="left"/>
            </w:pPr>
            <w:r>
              <w:rPr>
                <w:b w:val="0"/>
                <w:i w:val="0"/>
                <w:color w:val="243442"/>
                <w:sz w:val="17"/>
              </w:rPr>
              <w:t>Genel iptal oranı ve kanal bazlı iptal oranları</w:t>
            </w:r>
          </w:p>
        </w:tc>
      </w:tr>
    </w:tbl>
    <w:p>
      <w:pPr>
        <w:pStyle w:val="Heading2"/>
      </w:pPr>
      <w:r>
        <w:t>8 haftalık örnek doluluk tahmini</w:t>
      </w:r>
    </w:p>
    <w:p>
      <w:r>
        <w:drawing>
          <wp:inline xmlns:a="http://schemas.openxmlformats.org/drawingml/2006/main" xmlns:pic="http://schemas.openxmlformats.org/drawingml/2006/picture">
            <wp:extent cx="6355080" cy="2996931"/>
            <wp:docPr id="1" name="Picture 1" descr="Sekiz haftalık mevcut rezervasyon ve tahmini nihai doluluk çizgi grafiği"/>
            <wp:cNvGraphicFramePr>
              <a:graphicFrameLocks noChangeAspect="1"/>
            </wp:cNvGraphicFramePr>
            <a:graphic>
              <a:graphicData uri="http://schemas.openxmlformats.org/drawingml/2006/picture">
                <pic:pic>
                  <pic:nvPicPr>
                    <pic:cNvPr id="0" name="01_demand_forecast.png"/>
                    <pic:cNvPicPr/>
                  </pic:nvPicPr>
                  <pic:blipFill>
                    <a:blip r:embed="rId11"/>
                    <a:stretch>
                      <a:fillRect/>
                    </a:stretch>
                  </pic:blipFill>
                  <pic:spPr>
                    <a:xfrm>
                      <a:off x="0" y="0"/>
                      <a:ext cx="6355080" cy="2996931"/>
                    </a:xfrm>
                    <a:prstGeom prst="rect"/>
                  </pic:spPr>
                </pic:pic>
              </a:graphicData>
            </a:graphic>
          </wp:inline>
        </w:drawing>
      </w:r>
    </w:p>
    <w:p>
      <w:pPr>
        <w:spacing w:before="60" w:after="160"/>
        <w:jc w:val="center"/>
      </w:pPr>
      <w:r>
        <w:rPr>
          <w:b w:val="0"/>
          <w:i/>
          <w:color w:val="637381"/>
          <w:sz w:val="16"/>
        </w:rPr>
        <w:t>Şekil 1. Mevcut rezervasyon seviyesi ile tahmini nihai doluluk arasındaki fark, kalan satış potansiyelini gösterir.</w:t>
      </w:r>
    </w:p>
    <w:tbl>
      <w:tblPr>
        <w:tblW w:type="auto" w:w="0"/>
        <w:jc w:val="center"/>
        <w:tblLook w:firstColumn="1" w:firstRow="1" w:lastColumn="0" w:lastRow="0" w:noHBand="0" w:noVBand="1" w:val="04A0"/>
      </w:tblPr>
      <w:tblGrid>
        <w:gridCol w:w="10166"/>
      </w:tblGrid>
      <w:tr>
        <w:tc>
          <w:tcPr>
            <w:tcW w:type="dxa" w:w="10166"/>
            <w:shd w:fill="EAF4F5"/>
            <w:tcMar>
              <w:top w:w="130" w:type="dxa"/>
              <w:start w:w="160" w:type="dxa"/>
              <w:bottom w:w="130" w:type="dxa"/>
              <w:end w:w="160" w:type="dxa"/>
            </w:tcMar>
            <w:tcBorders>
              <w:left w:val="single" w:sz="18" w:color="1F7A8C"/>
            </w:tcBorders>
          </w:tcPr>
          <w:p>
            <w:r>
              <w:rPr>
                <w:b/>
                <w:i w:val="0"/>
                <w:color w:val="17324D"/>
                <w:sz w:val="21"/>
              </w:rPr>
              <w:t>Yönetim yorumu</w:t>
            </w:r>
          </w:p>
          <w:p>
            <w:pPr>
              <w:spacing w:after="0"/>
            </w:pPr>
            <w:r>
              <w:rPr>
                <w:b w:val="0"/>
                <w:i w:val="0"/>
                <w:color w:val="243442"/>
                <w:sz w:val="18"/>
              </w:rPr>
              <w:t>6. haftada tahmini doluluk %91 seviyesine ulaşmaktadır. Bu dönemde indirim envanterinin azaltılması, yüksek talep gören oda tiplerinde fiyat koruması ve personel planlamasının öne çekilmesi değerlendirilebilir.</w:t>
            </w:r>
          </w:p>
        </w:tc>
      </w:tr>
    </w:tbl>
    <w:p>
      <w:pPr>
        <w:pStyle w:val="Heading2"/>
      </w:pPr>
      <w:r>
        <w:t>Kanal karması ve iptal oranı</w:t>
      </w:r>
    </w:p>
    <w:p>
      <w:r>
        <w:drawing>
          <wp:inline xmlns:a="http://schemas.openxmlformats.org/drawingml/2006/main" xmlns:pic="http://schemas.openxmlformats.org/drawingml/2006/picture">
            <wp:extent cx="6080760" cy="2967989"/>
            <wp:docPr id="2" name="Picture 2" descr="Direct website, OTA ve tur operatörü için rezervasyon payı ve iptal oranı sütun grafiği"/>
            <wp:cNvGraphicFramePr>
              <a:graphicFrameLocks noChangeAspect="1"/>
            </wp:cNvGraphicFramePr>
            <a:graphic>
              <a:graphicData uri="http://schemas.openxmlformats.org/drawingml/2006/picture">
                <pic:pic>
                  <pic:nvPicPr>
                    <pic:cNvPr id="0" name="02_channel_cancellation.png"/>
                    <pic:cNvPicPr/>
                  </pic:nvPicPr>
                  <pic:blipFill>
                    <a:blip r:embed="rId12"/>
                    <a:stretch>
                      <a:fillRect/>
                    </a:stretch>
                  </pic:blipFill>
                  <pic:spPr>
                    <a:xfrm>
                      <a:off x="0" y="0"/>
                      <a:ext cx="6080760" cy="2967989"/>
                    </a:xfrm>
                    <a:prstGeom prst="rect"/>
                  </pic:spPr>
                </pic:pic>
              </a:graphicData>
            </a:graphic>
          </wp:inline>
        </w:drawing>
      </w:r>
    </w:p>
    <w:p>
      <w:pPr>
        <w:spacing w:before="60" w:after="160"/>
        <w:jc w:val="center"/>
      </w:pPr>
      <w:r>
        <w:rPr>
          <w:b w:val="0"/>
          <w:i/>
          <w:color w:val="637381"/>
          <w:sz w:val="16"/>
        </w:rPr>
        <w:t>Şekil 2. Kanal payı tek başına yeterli değildir; iptal davranışı ve net gerçekleşen gelirle birlikte izlenmelidir.</w:t>
      </w:r>
    </w:p>
    <w:tbl>
      <w:tblPr>
        <w:tblW w:type="auto" w:w="0"/>
        <w:jc w:val="center"/>
        <w:tblLook w:firstColumn="1" w:firstRow="1" w:lastColumn="0" w:lastRow="0" w:noHBand="0" w:noVBand="1" w:val="04A0"/>
      </w:tblPr>
      <w:tblGrid>
        <w:gridCol w:w="10166"/>
      </w:tblGrid>
      <w:tr>
        <w:tc>
          <w:tcPr>
            <w:tcW w:type="dxa" w:w="10166"/>
            <w:shd w:fill="FBF5E8"/>
            <w:tcMar>
              <w:top w:w="130" w:type="dxa"/>
              <w:start w:w="160" w:type="dxa"/>
              <w:bottom w:w="130" w:type="dxa"/>
              <w:end w:w="160" w:type="dxa"/>
            </w:tcMar>
            <w:tcBorders>
              <w:left w:val="single" w:sz="18" w:color="1F7A8C"/>
            </w:tcBorders>
          </w:tcPr>
          <w:p>
            <w:r>
              <w:rPr>
                <w:b/>
                <w:i w:val="0"/>
                <w:color w:val="17324D"/>
                <w:sz w:val="21"/>
              </w:rPr>
              <w:t>Örnek bulgu</w:t>
            </w:r>
          </w:p>
          <w:p>
            <w:pPr>
              <w:spacing w:after="0"/>
            </w:pPr>
            <w:r>
              <w:rPr>
                <w:b w:val="0"/>
                <w:i w:val="0"/>
                <w:color w:val="243442"/>
                <w:sz w:val="18"/>
              </w:rPr>
              <w:t>OTA kanalı toplam rezervasyonların %44’ünü oluştururken örnek iptal oranı %16’dır. Direct web kanalında iptal oranı %7 düzeyindedir. Bu görünüm, kanal bazlı net oda-gece ve net gelir takibini anlamlı hale getirir.</w:t>
            </w:r>
          </w:p>
        </w:tc>
      </w:tr>
    </w:tbl>
    <w:p>
      <w:pPr>
        <w:pStyle w:val="Heading1"/>
        <w:keepNext/>
        <w:pBdr>
          <w:bottom w:val="single" w:sz="16" w:space="3" w:color="D7A84B"/>
        </w:pBdr>
      </w:pPr>
      <w:r>
        <w:rPr>
          <w:b/>
          <w:color w:val="17324D"/>
        </w:rPr>
        <w:t>04. Misafir Segmentasyonu ve RFM Analizi</w:t>
      </w:r>
    </w:p>
    <w:p>
      <w:pPr>
        <w:spacing w:after="160"/>
      </w:pPr>
      <w:r>
        <w:rPr>
          <w:b w:val="0"/>
          <w:i/>
          <w:color w:val="637381"/>
          <w:sz w:val="19"/>
        </w:rPr>
        <w:t>Recency, Frequency ve Monetary davranışını eyleme dönüştürmek</w:t>
      </w:r>
    </w:p>
    <w:p>
      <w:r>
        <w:rPr>
          <w:b w:val="0"/>
          <w:i w:val="0"/>
          <w:color w:val="243442"/>
          <w:sz w:val="19"/>
        </w:rPr>
        <w:t>RFM analizi, misafirlerin son konaklama zamanı (Recency), tekrar sıklığı (Frequency) ve harcama düzeyi (Monetary) üzerinden davranışsal olarak ayrıştırılmasını sağlar. İşletme tercihine göre ortalama konaklama süresi veya yan gelir harcaması gibi değişkenler de eklenebilir.</w:t>
      </w:r>
    </w:p>
    <w:tbl>
      <w:tblPr>
        <w:tblW w:type="auto" w:w="0"/>
        <w:jc w:val="center"/>
        <w:tblLayout w:type="fixed"/>
        <w:tblLook w:firstColumn="1" w:firstRow="1" w:lastColumn="0" w:lastRow="0" w:noHBand="0" w:noVBand="1" w:val="04A0"/>
      </w:tblPr>
      <w:tblGrid>
        <w:gridCol w:w="1694"/>
        <w:gridCol w:w="1694"/>
        <w:gridCol w:w="1694"/>
        <w:gridCol w:w="1694"/>
        <w:gridCol w:w="1694"/>
        <w:gridCol w:w="1694"/>
      </w:tblGrid>
      <w:tr>
        <w:trPr>
          <w:tblHeader w:val="true"/>
        </w:trPr>
        <w:tc>
          <w:tcPr>
            <w:tcW w:type="dxa" w:w="2088"/>
            <w:shd w:fill="17324D"/>
            <w:tcMar>
              <w:top w:w="80" w:type="dxa"/>
              <w:start w:w="80" w:type="dxa"/>
              <w:bottom w:w="80" w:type="dxa"/>
              <w:end w:w="80" w:type="dxa"/>
            </w:tcMar>
            <w:vAlign w:val="center"/>
          </w:tcPr>
          <w:p>
            <w:pPr>
              <w:jc w:val="center"/>
            </w:pPr>
            <w:r>
              <w:rPr>
                <w:b/>
                <w:i w:val="0"/>
                <w:color w:val="FFFFFF"/>
                <w:sz w:val="17"/>
              </w:rPr>
              <w:t>Segment</w:t>
            </w:r>
          </w:p>
        </w:tc>
        <w:tc>
          <w:tcPr>
            <w:tcW w:type="dxa" w:w="792"/>
            <w:shd w:fill="17324D"/>
            <w:tcMar>
              <w:top w:w="80" w:type="dxa"/>
              <w:start w:w="80" w:type="dxa"/>
              <w:bottom w:w="80" w:type="dxa"/>
              <w:end w:w="80" w:type="dxa"/>
            </w:tcMar>
            <w:vAlign w:val="center"/>
          </w:tcPr>
          <w:p>
            <w:pPr>
              <w:jc w:val="center"/>
            </w:pPr>
            <w:r>
              <w:rPr>
                <w:b/>
                <w:i w:val="0"/>
                <w:color w:val="FFFFFF"/>
                <w:sz w:val="17"/>
              </w:rPr>
              <w:t>Pay</w:t>
            </w:r>
          </w:p>
        </w:tc>
        <w:tc>
          <w:tcPr>
            <w:tcW w:type="dxa" w:w="1008"/>
            <w:shd w:fill="17324D"/>
            <w:tcMar>
              <w:top w:w="80" w:type="dxa"/>
              <w:start w:w="80" w:type="dxa"/>
              <w:bottom w:w="80" w:type="dxa"/>
              <w:end w:w="80" w:type="dxa"/>
            </w:tcMar>
            <w:vAlign w:val="center"/>
          </w:tcPr>
          <w:p>
            <w:pPr>
              <w:jc w:val="center"/>
            </w:pPr>
            <w:r>
              <w:rPr>
                <w:b/>
                <w:i w:val="0"/>
                <w:color w:val="FFFFFF"/>
                <w:sz w:val="17"/>
              </w:rPr>
              <w:t>Recency</w:t>
            </w:r>
          </w:p>
        </w:tc>
        <w:tc>
          <w:tcPr>
            <w:tcW w:type="dxa" w:w="1152"/>
            <w:shd w:fill="17324D"/>
            <w:tcMar>
              <w:top w:w="80" w:type="dxa"/>
              <w:start w:w="80" w:type="dxa"/>
              <w:bottom w:w="80" w:type="dxa"/>
              <w:end w:w="80" w:type="dxa"/>
            </w:tcMar>
            <w:vAlign w:val="center"/>
          </w:tcPr>
          <w:p>
            <w:pPr>
              <w:jc w:val="center"/>
            </w:pPr>
            <w:r>
              <w:rPr>
                <w:b/>
                <w:i w:val="0"/>
                <w:color w:val="FFFFFF"/>
                <w:sz w:val="17"/>
              </w:rPr>
              <w:t>Frequency</w:t>
            </w:r>
          </w:p>
        </w:tc>
        <w:tc>
          <w:tcPr>
            <w:tcW w:type="dxa" w:w="1152"/>
            <w:shd w:fill="17324D"/>
            <w:tcMar>
              <w:top w:w="80" w:type="dxa"/>
              <w:start w:w="80" w:type="dxa"/>
              <w:bottom w:w="80" w:type="dxa"/>
              <w:end w:w="80" w:type="dxa"/>
            </w:tcMar>
            <w:vAlign w:val="center"/>
          </w:tcPr>
          <w:p>
            <w:pPr>
              <w:jc w:val="center"/>
            </w:pPr>
            <w:r>
              <w:rPr>
                <w:b/>
                <w:i w:val="0"/>
                <w:color w:val="FFFFFF"/>
                <w:sz w:val="17"/>
              </w:rPr>
              <w:t>Monetary</w:t>
            </w:r>
          </w:p>
        </w:tc>
        <w:tc>
          <w:tcPr>
            <w:tcW w:type="dxa" w:w="3456"/>
            <w:shd w:fill="17324D"/>
            <w:tcMar>
              <w:top w:w="80" w:type="dxa"/>
              <w:start w:w="80" w:type="dxa"/>
              <w:bottom w:w="80" w:type="dxa"/>
              <w:end w:w="80" w:type="dxa"/>
            </w:tcMar>
            <w:vAlign w:val="center"/>
          </w:tcPr>
          <w:p>
            <w:pPr>
              <w:jc w:val="center"/>
            </w:pPr>
            <w:r>
              <w:rPr>
                <w:b/>
                <w:i w:val="0"/>
                <w:color w:val="FFFFFF"/>
                <w:sz w:val="17"/>
              </w:rPr>
              <w:t>Örnek aksiyon</w:t>
            </w:r>
          </w:p>
        </w:tc>
      </w:tr>
      <w:tr>
        <w:tc>
          <w:tcPr>
            <w:tcW w:type="dxa" w:w="2088"/>
            <w:shd w:fill="FFFFFF"/>
            <w:tcMar>
              <w:top w:w="70" w:type="dxa"/>
              <w:start w:w="75" w:type="dxa"/>
              <w:bottom w:w="70" w:type="dxa"/>
              <w:end w:w="75" w:type="dxa"/>
            </w:tcMar>
            <w:vAlign w:val="center"/>
            <w:tcBorders>
              <w:bottom w:val="single" w:sz="4" w:color="E6EBEF"/>
            </w:tcBorders>
          </w:tcPr>
          <w:p>
            <w:pPr>
              <w:jc w:val="left"/>
            </w:pPr>
            <w:r>
              <w:rPr>
                <w:b w:val="0"/>
                <w:i w:val="0"/>
                <w:color w:val="243442"/>
                <w:sz w:val="15"/>
              </w:rPr>
              <w:t>Sadık / Yüksek Değer</w:t>
            </w:r>
          </w:p>
        </w:tc>
        <w:tc>
          <w:tcPr>
            <w:tcW w:type="dxa" w:w="792"/>
            <w:shd w:fill="FFFFFF"/>
            <w:tcMar>
              <w:top w:w="70" w:type="dxa"/>
              <w:start w:w="75" w:type="dxa"/>
              <w:bottom w:w="70" w:type="dxa"/>
              <w:end w:w="75" w:type="dxa"/>
            </w:tcMar>
            <w:vAlign w:val="center"/>
            <w:tcBorders>
              <w:bottom w:val="single" w:sz="4" w:color="E6EBEF"/>
            </w:tcBorders>
          </w:tcPr>
          <w:p>
            <w:pPr>
              <w:jc w:val="center"/>
            </w:pPr>
            <w:r>
              <w:rPr>
                <w:b w:val="0"/>
                <w:i w:val="0"/>
                <w:color w:val="243442"/>
                <w:sz w:val="15"/>
              </w:rPr>
              <w:t>%28</w:t>
            </w:r>
          </w:p>
        </w:tc>
        <w:tc>
          <w:tcPr>
            <w:tcW w:type="dxa" w:w="1008"/>
            <w:shd w:fill="FFFFFF"/>
            <w:tcMar>
              <w:top w:w="70" w:type="dxa"/>
              <w:start w:w="75" w:type="dxa"/>
              <w:bottom w:w="70" w:type="dxa"/>
              <w:end w:w="75" w:type="dxa"/>
            </w:tcMar>
            <w:vAlign w:val="center"/>
            <w:tcBorders>
              <w:bottom w:val="single" w:sz="4" w:color="E6EBEF"/>
            </w:tcBorders>
          </w:tcPr>
          <w:p>
            <w:pPr>
              <w:jc w:val="center"/>
            </w:pPr>
            <w:r>
              <w:rPr>
                <w:b w:val="0"/>
                <w:i w:val="0"/>
                <w:color w:val="243442"/>
                <w:sz w:val="15"/>
              </w:rPr>
              <w:t>Düşük</w:t>
            </w:r>
          </w:p>
        </w:tc>
        <w:tc>
          <w:tcPr>
            <w:tcW w:type="dxa" w:w="1152"/>
            <w:shd w:fill="FFFFFF"/>
            <w:tcMar>
              <w:top w:w="70" w:type="dxa"/>
              <w:start w:w="75" w:type="dxa"/>
              <w:bottom w:w="70" w:type="dxa"/>
              <w:end w:w="75" w:type="dxa"/>
            </w:tcMar>
            <w:vAlign w:val="center"/>
            <w:tcBorders>
              <w:bottom w:val="single" w:sz="4" w:color="E6EBEF"/>
            </w:tcBorders>
          </w:tcPr>
          <w:p>
            <w:pPr>
              <w:jc w:val="center"/>
            </w:pPr>
            <w:r>
              <w:rPr>
                <w:b w:val="0"/>
                <w:i w:val="0"/>
                <w:color w:val="243442"/>
                <w:sz w:val="15"/>
              </w:rPr>
              <w:t>Yüksek</w:t>
            </w:r>
          </w:p>
        </w:tc>
        <w:tc>
          <w:tcPr>
            <w:tcW w:type="dxa" w:w="1152"/>
            <w:shd w:fill="FFFFFF"/>
            <w:tcMar>
              <w:top w:w="70" w:type="dxa"/>
              <w:start w:w="75" w:type="dxa"/>
              <w:bottom w:w="70" w:type="dxa"/>
              <w:end w:w="75" w:type="dxa"/>
            </w:tcMar>
            <w:vAlign w:val="center"/>
            <w:tcBorders>
              <w:bottom w:val="single" w:sz="4" w:color="E6EBEF"/>
            </w:tcBorders>
          </w:tcPr>
          <w:p>
            <w:pPr>
              <w:jc w:val="center"/>
            </w:pPr>
            <w:r>
              <w:rPr>
                <w:b w:val="0"/>
                <w:i w:val="0"/>
                <w:color w:val="243442"/>
                <w:sz w:val="15"/>
              </w:rPr>
              <w:t>Yüksek</w:t>
            </w:r>
          </w:p>
        </w:tc>
        <w:tc>
          <w:tcPr>
            <w:tcW w:type="dxa" w:w="3456"/>
            <w:shd w:fill="FFFFFF"/>
            <w:tcMar>
              <w:top w:w="70" w:type="dxa"/>
              <w:start w:w="75" w:type="dxa"/>
              <w:bottom w:w="70" w:type="dxa"/>
              <w:end w:w="75" w:type="dxa"/>
            </w:tcMar>
            <w:vAlign w:val="center"/>
            <w:tcBorders>
              <w:bottom w:val="single" w:sz="4" w:color="E6EBEF"/>
            </w:tcBorders>
          </w:tcPr>
          <w:p>
            <w:pPr>
              <w:jc w:val="left"/>
            </w:pPr>
            <w:r>
              <w:rPr>
                <w:b w:val="0"/>
                <w:i w:val="0"/>
                <w:color w:val="243442"/>
                <w:sz w:val="15"/>
              </w:rPr>
              <w:t>Sadakat ayrıcalıkları, direct booking teklifi</w:t>
            </w:r>
          </w:p>
        </w:tc>
      </w:tr>
      <w:tr>
        <w:tc>
          <w:tcPr>
            <w:tcW w:type="dxa" w:w="2088"/>
            <w:shd w:fill="F6F8FA"/>
            <w:tcMar>
              <w:top w:w="70" w:type="dxa"/>
              <w:start w:w="75" w:type="dxa"/>
              <w:bottom w:w="70" w:type="dxa"/>
              <w:end w:w="75" w:type="dxa"/>
            </w:tcMar>
            <w:vAlign w:val="center"/>
            <w:tcBorders>
              <w:bottom w:val="single" w:sz="4" w:color="E6EBEF"/>
            </w:tcBorders>
          </w:tcPr>
          <w:p>
            <w:pPr>
              <w:jc w:val="left"/>
            </w:pPr>
            <w:r>
              <w:rPr>
                <w:b w:val="0"/>
                <w:i w:val="0"/>
                <w:color w:val="243442"/>
                <w:sz w:val="15"/>
              </w:rPr>
              <w:t>Fiyat Odaklı</w:t>
            </w:r>
          </w:p>
        </w:tc>
        <w:tc>
          <w:tcPr>
            <w:tcW w:type="dxa" w:w="792"/>
            <w:shd w:fill="F6F8FA"/>
            <w:tcMar>
              <w:top w:w="70" w:type="dxa"/>
              <w:start w:w="75" w:type="dxa"/>
              <w:bottom w:w="70" w:type="dxa"/>
              <w:end w:w="75" w:type="dxa"/>
            </w:tcMar>
            <w:vAlign w:val="center"/>
            <w:tcBorders>
              <w:bottom w:val="single" w:sz="4" w:color="E6EBEF"/>
            </w:tcBorders>
          </w:tcPr>
          <w:p>
            <w:pPr>
              <w:jc w:val="center"/>
            </w:pPr>
            <w:r>
              <w:rPr>
                <w:b w:val="0"/>
                <w:i w:val="0"/>
                <w:color w:val="243442"/>
                <w:sz w:val="15"/>
              </w:rPr>
              <w:t>%34</w:t>
            </w:r>
          </w:p>
        </w:tc>
        <w:tc>
          <w:tcPr>
            <w:tcW w:type="dxa" w:w="1008"/>
            <w:shd w:fill="F6F8FA"/>
            <w:tcMar>
              <w:top w:w="70" w:type="dxa"/>
              <w:start w:w="75" w:type="dxa"/>
              <w:bottom w:w="70" w:type="dxa"/>
              <w:end w:w="75" w:type="dxa"/>
            </w:tcMar>
            <w:vAlign w:val="center"/>
            <w:tcBorders>
              <w:bottom w:val="single" w:sz="4" w:color="E6EBEF"/>
            </w:tcBorders>
          </w:tcPr>
          <w:p>
            <w:pPr>
              <w:jc w:val="center"/>
            </w:pPr>
            <w:r>
              <w:rPr>
                <w:b w:val="0"/>
                <w:i w:val="0"/>
                <w:color w:val="243442"/>
                <w:sz w:val="15"/>
              </w:rPr>
              <w:t>Orta</w:t>
            </w:r>
          </w:p>
        </w:tc>
        <w:tc>
          <w:tcPr>
            <w:tcW w:type="dxa" w:w="1152"/>
            <w:shd w:fill="F6F8FA"/>
            <w:tcMar>
              <w:top w:w="70" w:type="dxa"/>
              <w:start w:w="75" w:type="dxa"/>
              <w:bottom w:w="70" w:type="dxa"/>
              <w:end w:w="75" w:type="dxa"/>
            </w:tcMar>
            <w:vAlign w:val="center"/>
            <w:tcBorders>
              <w:bottom w:val="single" w:sz="4" w:color="E6EBEF"/>
            </w:tcBorders>
          </w:tcPr>
          <w:p>
            <w:pPr>
              <w:jc w:val="center"/>
            </w:pPr>
            <w:r>
              <w:rPr>
                <w:b w:val="0"/>
                <w:i w:val="0"/>
                <w:color w:val="243442"/>
                <w:sz w:val="15"/>
              </w:rPr>
              <w:t>Düşük-Orta</w:t>
            </w:r>
          </w:p>
        </w:tc>
        <w:tc>
          <w:tcPr>
            <w:tcW w:type="dxa" w:w="1152"/>
            <w:shd w:fill="F6F8FA"/>
            <w:tcMar>
              <w:top w:w="70" w:type="dxa"/>
              <w:start w:w="75" w:type="dxa"/>
              <w:bottom w:w="70" w:type="dxa"/>
              <w:end w:w="75" w:type="dxa"/>
            </w:tcMar>
            <w:vAlign w:val="center"/>
            <w:tcBorders>
              <w:bottom w:val="single" w:sz="4" w:color="E6EBEF"/>
            </w:tcBorders>
          </w:tcPr>
          <w:p>
            <w:pPr>
              <w:jc w:val="center"/>
            </w:pPr>
            <w:r>
              <w:rPr>
                <w:b w:val="0"/>
                <w:i w:val="0"/>
                <w:color w:val="243442"/>
                <w:sz w:val="15"/>
              </w:rPr>
              <w:t>Orta</w:t>
            </w:r>
          </w:p>
        </w:tc>
        <w:tc>
          <w:tcPr>
            <w:tcW w:type="dxa" w:w="3456"/>
            <w:shd w:fill="F6F8FA"/>
            <w:tcMar>
              <w:top w:w="70" w:type="dxa"/>
              <w:start w:w="75" w:type="dxa"/>
              <w:bottom w:w="70" w:type="dxa"/>
              <w:end w:w="75" w:type="dxa"/>
            </w:tcMar>
            <w:vAlign w:val="center"/>
            <w:tcBorders>
              <w:bottom w:val="single" w:sz="4" w:color="E6EBEF"/>
            </w:tcBorders>
          </w:tcPr>
          <w:p>
            <w:pPr>
              <w:jc w:val="left"/>
            </w:pPr>
            <w:r>
              <w:rPr>
                <w:b w:val="0"/>
                <w:i w:val="0"/>
                <w:color w:val="243442"/>
                <w:sz w:val="15"/>
              </w:rPr>
              <w:t>Fiyat duyarlı, dönemsel kampanya</w:t>
            </w:r>
          </w:p>
        </w:tc>
      </w:tr>
      <w:tr>
        <w:tc>
          <w:tcPr>
            <w:tcW w:type="dxa" w:w="2088"/>
            <w:shd w:fill="FFFFFF"/>
            <w:tcMar>
              <w:top w:w="70" w:type="dxa"/>
              <w:start w:w="75" w:type="dxa"/>
              <w:bottom w:w="70" w:type="dxa"/>
              <w:end w:w="75" w:type="dxa"/>
            </w:tcMar>
            <w:vAlign w:val="center"/>
            <w:tcBorders>
              <w:bottom w:val="single" w:sz="4" w:color="E6EBEF"/>
            </w:tcBorders>
          </w:tcPr>
          <w:p>
            <w:pPr>
              <w:jc w:val="left"/>
            </w:pPr>
            <w:r>
              <w:rPr>
                <w:b w:val="0"/>
                <w:i w:val="0"/>
                <w:color w:val="243442"/>
                <w:sz w:val="15"/>
              </w:rPr>
              <w:t>Deneyim Arayan</w:t>
            </w:r>
          </w:p>
        </w:tc>
        <w:tc>
          <w:tcPr>
            <w:tcW w:type="dxa" w:w="792"/>
            <w:shd w:fill="FFFFFF"/>
            <w:tcMar>
              <w:top w:w="70" w:type="dxa"/>
              <w:start w:w="75" w:type="dxa"/>
              <w:bottom w:w="70" w:type="dxa"/>
              <w:end w:w="75" w:type="dxa"/>
            </w:tcMar>
            <w:vAlign w:val="center"/>
            <w:tcBorders>
              <w:bottom w:val="single" w:sz="4" w:color="E6EBEF"/>
            </w:tcBorders>
          </w:tcPr>
          <w:p>
            <w:pPr>
              <w:jc w:val="center"/>
            </w:pPr>
            <w:r>
              <w:rPr>
                <w:b w:val="0"/>
                <w:i w:val="0"/>
                <w:color w:val="243442"/>
                <w:sz w:val="15"/>
              </w:rPr>
              <w:t>%22</w:t>
            </w:r>
          </w:p>
        </w:tc>
        <w:tc>
          <w:tcPr>
            <w:tcW w:type="dxa" w:w="1008"/>
            <w:shd w:fill="FFFFFF"/>
            <w:tcMar>
              <w:top w:w="70" w:type="dxa"/>
              <w:start w:w="75" w:type="dxa"/>
              <w:bottom w:w="70" w:type="dxa"/>
              <w:end w:w="75" w:type="dxa"/>
            </w:tcMar>
            <w:vAlign w:val="center"/>
            <w:tcBorders>
              <w:bottom w:val="single" w:sz="4" w:color="E6EBEF"/>
            </w:tcBorders>
          </w:tcPr>
          <w:p>
            <w:pPr>
              <w:jc w:val="center"/>
            </w:pPr>
            <w:r>
              <w:rPr>
                <w:b w:val="0"/>
                <w:i w:val="0"/>
                <w:color w:val="243442"/>
                <w:sz w:val="15"/>
              </w:rPr>
              <w:t>Orta</w:t>
            </w:r>
          </w:p>
        </w:tc>
        <w:tc>
          <w:tcPr>
            <w:tcW w:type="dxa" w:w="1152"/>
            <w:shd w:fill="FFFFFF"/>
            <w:tcMar>
              <w:top w:w="70" w:type="dxa"/>
              <w:start w:w="75" w:type="dxa"/>
              <w:bottom w:w="70" w:type="dxa"/>
              <w:end w:w="75" w:type="dxa"/>
            </w:tcMar>
            <w:vAlign w:val="center"/>
            <w:tcBorders>
              <w:bottom w:val="single" w:sz="4" w:color="E6EBEF"/>
            </w:tcBorders>
          </w:tcPr>
          <w:p>
            <w:pPr>
              <w:jc w:val="center"/>
            </w:pPr>
            <w:r>
              <w:rPr>
                <w:b w:val="0"/>
                <w:i w:val="0"/>
                <w:color w:val="243442"/>
                <w:sz w:val="15"/>
              </w:rPr>
              <w:t>Orta</w:t>
            </w:r>
          </w:p>
        </w:tc>
        <w:tc>
          <w:tcPr>
            <w:tcW w:type="dxa" w:w="1152"/>
            <w:shd w:fill="FFFFFF"/>
            <w:tcMar>
              <w:top w:w="70" w:type="dxa"/>
              <w:start w:w="75" w:type="dxa"/>
              <w:bottom w:w="70" w:type="dxa"/>
              <w:end w:w="75" w:type="dxa"/>
            </w:tcMar>
            <w:vAlign w:val="center"/>
            <w:tcBorders>
              <w:bottom w:val="single" w:sz="4" w:color="E6EBEF"/>
            </w:tcBorders>
          </w:tcPr>
          <w:p>
            <w:pPr>
              <w:jc w:val="center"/>
            </w:pPr>
            <w:r>
              <w:rPr>
                <w:b w:val="0"/>
                <w:i w:val="0"/>
                <w:color w:val="243442"/>
                <w:sz w:val="15"/>
              </w:rPr>
              <w:t>Çok yüksek</w:t>
            </w:r>
          </w:p>
        </w:tc>
        <w:tc>
          <w:tcPr>
            <w:tcW w:type="dxa" w:w="3456"/>
            <w:shd w:fill="FFFFFF"/>
            <w:tcMar>
              <w:top w:w="70" w:type="dxa"/>
              <w:start w:w="75" w:type="dxa"/>
              <w:bottom w:w="70" w:type="dxa"/>
              <w:end w:w="75" w:type="dxa"/>
            </w:tcMar>
            <w:vAlign w:val="center"/>
            <w:tcBorders>
              <w:bottom w:val="single" w:sz="4" w:color="E6EBEF"/>
            </w:tcBorders>
          </w:tcPr>
          <w:p>
            <w:pPr>
              <w:jc w:val="left"/>
            </w:pPr>
            <w:r>
              <w:rPr>
                <w:b w:val="0"/>
                <w:i w:val="0"/>
                <w:color w:val="243442"/>
                <w:sz w:val="15"/>
              </w:rPr>
              <w:t>Premium hizmet ve kişiselleştirme</w:t>
            </w:r>
          </w:p>
        </w:tc>
      </w:tr>
      <w:tr>
        <w:tc>
          <w:tcPr>
            <w:tcW w:type="dxa" w:w="2088"/>
            <w:shd w:fill="F6F8FA"/>
            <w:tcMar>
              <w:top w:w="70" w:type="dxa"/>
              <w:start w:w="75" w:type="dxa"/>
              <w:bottom w:w="70" w:type="dxa"/>
              <w:end w:w="75" w:type="dxa"/>
            </w:tcMar>
            <w:vAlign w:val="center"/>
            <w:tcBorders>
              <w:bottom w:val="single" w:sz="4" w:color="E6EBEF"/>
            </w:tcBorders>
          </w:tcPr>
          <w:p>
            <w:pPr>
              <w:jc w:val="left"/>
            </w:pPr>
            <w:r>
              <w:rPr>
                <w:b w:val="0"/>
                <w:i w:val="0"/>
                <w:color w:val="243442"/>
                <w:sz w:val="15"/>
              </w:rPr>
              <w:t>Tek Seferlik / Fırsatçı</w:t>
            </w:r>
          </w:p>
        </w:tc>
        <w:tc>
          <w:tcPr>
            <w:tcW w:type="dxa" w:w="792"/>
            <w:shd w:fill="F6F8FA"/>
            <w:tcMar>
              <w:top w:w="70" w:type="dxa"/>
              <w:start w:w="75" w:type="dxa"/>
              <w:bottom w:w="70" w:type="dxa"/>
              <w:end w:w="75" w:type="dxa"/>
            </w:tcMar>
            <w:vAlign w:val="center"/>
            <w:tcBorders>
              <w:bottom w:val="single" w:sz="4" w:color="E6EBEF"/>
            </w:tcBorders>
          </w:tcPr>
          <w:p>
            <w:pPr>
              <w:jc w:val="center"/>
            </w:pPr>
            <w:r>
              <w:rPr>
                <w:b w:val="0"/>
                <w:i w:val="0"/>
                <w:color w:val="243442"/>
                <w:sz w:val="15"/>
              </w:rPr>
              <w:t>%16</w:t>
            </w:r>
          </w:p>
        </w:tc>
        <w:tc>
          <w:tcPr>
            <w:tcW w:type="dxa" w:w="1008"/>
            <w:shd w:fill="F6F8FA"/>
            <w:tcMar>
              <w:top w:w="70" w:type="dxa"/>
              <w:start w:w="75" w:type="dxa"/>
              <w:bottom w:w="70" w:type="dxa"/>
              <w:end w:w="75" w:type="dxa"/>
            </w:tcMar>
            <w:vAlign w:val="center"/>
            <w:tcBorders>
              <w:bottom w:val="single" w:sz="4" w:color="E6EBEF"/>
            </w:tcBorders>
          </w:tcPr>
          <w:p>
            <w:pPr>
              <w:jc w:val="center"/>
            </w:pPr>
            <w:r>
              <w:rPr>
                <w:b w:val="0"/>
                <w:i w:val="0"/>
                <w:color w:val="243442"/>
                <w:sz w:val="15"/>
              </w:rPr>
              <w:t>Yüksek</w:t>
            </w:r>
          </w:p>
        </w:tc>
        <w:tc>
          <w:tcPr>
            <w:tcW w:type="dxa" w:w="1152"/>
            <w:shd w:fill="F6F8FA"/>
            <w:tcMar>
              <w:top w:w="70" w:type="dxa"/>
              <w:start w:w="75" w:type="dxa"/>
              <w:bottom w:w="70" w:type="dxa"/>
              <w:end w:w="75" w:type="dxa"/>
            </w:tcMar>
            <w:vAlign w:val="center"/>
            <w:tcBorders>
              <w:bottom w:val="single" w:sz="4" w:color="E6EBEF"/>
            </w:tcBorders>
          </w:tcPr>
          <w:p>
            <w:pPr>
              <w:jc w:val="center"/>
            </w:pPr>
            <w:r>
              <w:rPr>
                <w:b w:val="0"/>
                <w:i w:val="0"/>
                <w:color w:val="243442"/>
                <w:sz w:val="15"/>
              </w:rPr>
              <w:t>Düşük</w:t>
            </w:r>
          </w:p>
        </w:tc>
        <w:tc>
          <w:tcPr>
            <w:tcW w:type="dxa" w:w="1152"/>
            <w:shd w:fill="F6F8FA"/>
            <w:tcMar>
              <w:top w:w="70" w:type="dxa"/>
              <w:start w:w="75" w:type="dxa"/>
              <w:bottom w:w="70" w:type="dxa"/>
              <w:end w:w="75" w:type="dxa"/>
            </w:tcMar>
            <w:vAlign w:val="center"/>
            <w:tcBorders>
              <w:bottom w:val="single" w:sz="4" w:color="E6EBEF"/>
            </w:tcBorders>
          </w:tcPr>
          <w:p>
            <w:pPr>
              <w:jc w:val="center"/>
            </w:pPr>
            <w:r>
              <w:rPr>
                <w:b w:val="0"/>
                <w:i w:val="0"/>
                <w:color w:val="243442"/>
                <w:sz w:val="15"/>
              </w:rPr>
              <w:t>Düşük</w:t>
            </w:r>
          </w:p>
        </w:tc>
        <w:tc>
          <w:tcPr>
            <w:tcW w:type="dxa" w:w="3456"/>
            <w:shd w:fill="F6F8FA"/>
            <w:tcMar>
              <w:top w:w="70" w:type="dxa"/>
              <w:start w:w="75" w:type="dxa"/>
              <w:bottom w:w="70" w:type="dxa"/>
              <w:end w:w="75" w:type="dxa"/>
            </w:tcMar>
            <w:vAlign w:val="center"/>
            <w:tcBorders>
              <w:bottom w:val="single" w:sz="4" w:color="E6EBEF"/>
            </w:tcBorders>
          </w:tcPr>
          <w:p>
            <w:pPr>
              <w:jc w:val="left"/>
            </w:pPr>
            <w:r>
              <w:rPr>
                <w:b w:val="0"/>
                <w:i w:val="0"/>
                <w:color w:val="243442"/>
                <w:sz w:val="15"/>
              </w:rPr>
              <w:t>İkinci konaklamayı tetikleyen teklif</w:t>
            </w:r>
          </w:p>
        </w:tc>
      </w:tr>
    </w:tbl>
    <w:p>
      <w:pPr>
        <w:pStyle w:val="Heading2"/>
      </w:pPr>
      <w:r>
        <w:t>RFM segmentlerinin görsel profili</w:t>
      </w:r>
    </w:p>
    <w:p>
      <w:r>
        <w:drawing>
          <wp:inline xmlns:a="http://schemas.openxmlformats.org/drawingml/2006/main" xmlns:pic="http://schemas.openxmlformats.org/drawingml/2006/picture">
            <wp:extent cx="6080760" cy="3341388"/>
            <wp:docPr id="3" name="Picture 3" descr="RFM segmentlerini recency ve frequency ekseninde monetary büyüklüğü ile gösteren baloncuk grafiği"/>
            <wp:cNvGraphicFramePr>
              <a:graphicFrameLocks noChangeAspect="1"/>
            </wp:cNvGraphicFramePr>
            <a:graphic>
              <a:graphicData uri="http://schemas.openxmlformats.org/drawingml/2006/picture">
                <pic:pic>
                  <pic:nvPicPr>
                    <pic:cNvPr id="0" name="03_rfm_bubbles.png"/>
                    <pic:cNvPicPr/>
                  </pic:nvPicPr>
                  <pic:blipFill>
                    <a:blip r:embed="rId13"/>
                    <a:stretch>
                      <a:fillRect/>
                    </a:stretch>
                  </pic:blipFill>
                  <pic:spPr>
                    <a:xfrm>
                      <a:off x="0" y="0"/>
                      <a:ext cx="6080760" cy="3341388"/>
                    </a:xfrm>
                    <a:prstGeom prst="rect"/>
                  </pic:spPr>
                </pic:pic>
              </a:graphicData>
            </a:graphic>
          </wp:inline>
        </w:drawing>
      </w:r>
    </w:p>
    <w:p>
      <w:pPr>
        <w:spacing w:before="60" w:after="160"/>
        <w:jc w:val="center"/>
      </w:pPr>
      <w:r>
        <w:rPr>
          <w:b w:val="0"/>
          <w:i/>
          <w:color w:val="637381"/>
          <w:sz w:val="16"/>
        </w:rPr>
        <w:t>Şekil 3. Balon büyüklüğü parasal değeri temsil eder; yüksek değerli ancak davranışı yavaşlayan segmentler CRM açısından erken uyarı sağlayabilir.</w:t>
      </w:r>
    </w:p>
    <w:tbl>
      <w:tblPr>
        <w:tblW w:type="auto" w:w="0"/>
        <w:jc w:val="center"/>
        <w:tblLook w:firstColumn="1" w:firstRow="1" w:lastColumn="0" w:lastRow="0" w:noHBand="0" w:noVBand="1" w:val="04A0"/>
      </w:tblPr>
      <w:tblGrid>
        <w:gridCol w:w="10166"/>
      </w:tblGrid>
      <w:tr>
        <w:tc>
          <w:tcPr>
            <w:tcW w:type="dxa" w:w="10166"/>
            <w:shd w:fill="EAF4F5"/>
            <w:tcMar>
              <w:top w:w="130" w:type="dxa"/>
              <w:start w:w="160" w:type="dxa"/>
              <w:bottom w:w="130" w:type="dxa"/>
              <w:end w:w="160" w:type="dxa"/>
            </w:tcMar>
            <w:tcBorders>
              <w:left w:val="single" w:sz="18" w:color="1F7A8C"/>
            </w:tcBorders>
          </w:tcPr>
          <w:p>
            <w:r>
              <w:rPr>
                <w:b/>
                <w:i w:val="0"/>
                <w:color w:val="17324D"/>
                <w:sz w:val="21"/>
              </w:rPr>
              <w:t>Yönetim yorumu</w:t>
            </w:r>
          </w:p>
          <w:p>
            <w:pPr>
              <w:spacing w:after="0"/>
            </w:pPr>
            <w:r>
              <w:rPr>
                <w:b w:val="0"/>
                <w:i w:val="0"/>
                <w:color w:val="243442"/>
                <w:sz w:val="18"/>
              </w:rPr>
              <w:t>Segmentasyonun amacı yalnızca “misafir tipleri” üretmek değil, teklif, kanal, hizmet ve geri kazanım kararlarını farklılaştırmaktır. Özellikle yüksek monetary değere sahip misafirlerde recency artışı erken churn sinyali olarak izlenebilir.</w:t>
            </w:r>
          </w:p>
        </w:tc>
      </w:tr>
    </w:tbl>
    <w:p>
      <w:pPr>
        <w:pStyle w:val="Heading1"/>
        <w:keepNext/>
        <w:pBdr>
          <w:bottom w:val="single" w:sz="16" w:space="3" w:color="D7A84B"/>
        </w:pBdr>
      </w:pPr>
      <w:r>
        <w:rPr>
          <w:b/>
          <w:color w:val="17324D"/>
        </w:rPr>
        <w:t>05. Misafir Sesi Analitiği: Topic Modelling + Sentiment</w:t>
      </w:r>
    </w:p>
    <w:p>
      <w:pPr>
        <w:spacing w:after="160"/>
      </w:pPr>
      <w:r>
        <w:rPr>
          <w:b w:val="0"/>
          <w:i/>
          <w:color w:val="637381"/>
          <w:sz w:val="19"/>
        </w:rPr>
        <w:t>Genel duygu oranından hangi deneyim alanının sorun yarattığına geçiş</w:t>
      </w:r>
    </w:p>
    <w:p>
      <w:r>
        <w:rPr>
          <w:b w:val="0"/>
          <w:i w:val="0"/>
          <w:color w:val="243442"/>
          <w:sz w:val="19"/>
        </w:rPr>
        <w:t>Çevrim içi yorumlar yalnızca olumlu / nötr / olumsuz olarak sınıflandırılmak yerine, önce deneyim konularına ayrılarak her konu için duygu dağılımı hesaplanabilir. Böylece düşük görünen genel olumsuzluk oranının hangi operasyonel temas noktalarında yoğunlaştığı belirlenebilir.</w:t>
      </w:r>
    </w:p>
    <w:tbl>
      <w:tblPr>
        <w:tblW w:type="auto" w:w="0"/>
        <w:jc w:val="center"/>
        <w:tblLayout w:type="fixed"/>
        <w:tblLook w:firstColumn="1" w:firstRow="1" w:lastColumn="0" w:lastRow="0" w:noHBand="0" w:noVBand="1" w:val="04A0"/>
      </w:tblPr>
      <w:tblGrid>
        <w:gridCol w:w="2541"/>
        <w:gridCol w:w="2541"/>
        <w:gridCol w:w="2541"/>
        <w:gridCol w:w="2541"/>
      </w:tblGrid>
      <w:tr>
        <w:tc>
          <w:tcPr>
            <w:tcW w:type="dxa" w:w="2477"/>
            <w:shd w:fill="EAF4F5"/>
            <w:tcMar>
              <w:top w:w="130" w:type="dxa"/>
              <w:start w:w="100" w:type="dxa"/>
              <w:bottom w:w="130" w:type="dxa"/>
              <w:end w:w="100" w:type="dxa"/>
            </w:tcMar>
            <w:tcBorders>
              <w:top w:val="single" w:sz="6" w:color="E2E8EC"/>
              <w:left w:val="single" w:sz="6" w:color="E2E8EC"/>
              <w:bottom w:val="single" w:sz="6" w:color="E2E8EC"/>
              <w:right w:val="single" w:sz="6" w:color="E2E8EC"/>
            </w:tcBorders>
          </w:tcPr>
          <w:p>
            <w:pPr>
              <w:jc w:val="center"/>
            </w:pPr>
            <w:r>
              <w:rPr>
                <w:b/>
                <w:i w:val="0"/>
                <w:color w:val="17324D"/>
                <w:sz w:val="40"/>
              </w:rPr>
              <w:t>%75</w:t>
            </w:r>
          </w:p>
          <w:p>
            <w:pPr>
              <w:jc w:val="center"/>
            </w:pPr>
            <w:r>
              <w:rPr>
                <w:b/>
                <w:i w:val="0"/>
                <w:color w:val="243442"/>
                <w:sz w:val="18"/>
              </w:rPr>
              <w:t>Olumlu</w:t>
            </w:r>
          </w:p>
          <w:p>
            <w:pPr>
              <w:jc w:val="center"/>
            </w:pPr>
            <w:r>
              <w:rPr>
                <w:b w:val="0"/>
                <w:i w:val="0"/>
                <w:color w:val="637381"/>
                <w:sz w:val="15"/>
              </w:rPr>
              <w:t>tüm yorumlar</w:t>
            </w:r>
          </w:p>
        </w:tc>
        <w:tc>
          <w:tcPr>
            <w:tcW w:type="dxa" w:w="2477"/>
            <w:shd w:fill="F4F7F9"/>
            <w:tcMar>
              <w:top w:w="130" w:type="dxa"/>
              <w:start w:w="100" w:type="dxa"/>
              <w:bottom w:w="130" w:type="dxa"/>
              <w:end w:w="100" w:type="dxa"/>
            </w:tcMar>
            <w:tcBorders>
              <w:top w:val="single" w:sz="6" w:color="E2E8EC"/>
              <w:left w:val="single" w:sz="6" w:color="E2E8EC"/>
              <w:bottom w:val="single" w:sz="6" w:color="E2E8EC"/>
              <w:right w:val="single" w:sz="6" w:color="E2E8EC"/>
            </w:tcBorders>
          </w:tcPr>
          <w:p>
            <w:pPr>
              <w:jc w:val="center"/>
            </w:pPr>
            <w:r>
              <w:rPr>
                <w:b/>
                <w:i w:val="0"/>
                <w:color w:val="17324D"/>
                <w:sz w:val="40"/>
              </w:rPr>
              <w:t>%9</w:t>
            </w:r>
          </w:p>
          <w:p>
            <w:pPr>
              <w:jc w:val="center"/>
            </w:pPr>
            <w:r>
              <w:rPr>
                <w:b/>
                <w:i w:val="0"/>
                <w:color w:val="243442"/>
                <w:sz w:val="18"/>
              </w:rPr>
              <w:t>Nötr</w:t>
            </w:r>
          </w:p>
          <w:p>
            <w:pPr>
              <w:jc w:val="center"/>
            </w:pPr>
            <w:r>
              <w:rPr>
                <w:b w:val="0"/>
                <w:i w:val="0"/>
                <w:color w:val="637381"/>
                <w:sz w:val="15"/>
              </w:rPr>
              <w:t>tüm yorumlar</w:t>
            </w:r>
          </w:p>
        </w:tc>
        <w:tc>
          <w:tcPr>
            <w:tcW w:type="dxa" w:w="2477"/>
            <w:shd w:fill="FBF5E8"/>
            <w:tcMar>
              <w:top w:w="130" w:type="dxa"/>
              <w:start w:w="100" w:type="dxa"/>
              <w:bottom w:w="130" w:type="dxa"/>
              <w:end w:w="100" w:type="dxa"/>
            </w:tcMar>
            <w:tcBorders>
              <w:top w:val="single" w:sz="6" w:color="E2E8EC"/>
              <w:left w:val="single" w:sz="6" w:color="E2E8EC"/>
              <w:bottom w:val="single" w:sz="6" w:color="E2E8EC"/>
              <w:right w:val="single" w:sz="6" w:color="E2E8EC"/>
            </w:tcBorders>
          </w:tcPr>
          <w:p>
            <w:pPr>
              <w:jc w:val="center"/>
            </w:pPr>
            <w:r>
              <w:rPr>
                <w:b/>
                <w:i w:val="0"/>
                <w:color w:val="17324D"/>
                <w:sz w:val="40"/>
              </w:rPr>
              <w:t>%16</w:t>
            </w:r>
          </w:p>
          <w:p>
            <w:pPr>
              <w:jc w:val="center"/>
            </w:pPr>
            <w:r>
              <w:rPr>
                <w:b/>
                <w:i w:val="0"/>
                <w:color w:val="243442"/>
                <w:sz w:val="18"/>
              </w:rPr>
              <w:t>Olumsuz</w:t>
            </w:r>
          </w:p>
          <w:p>
            <w:pPr>
              <w:jc w:val="center"/>
            </w:pPr>
            <w:r>
              <w:rPr>
                <w:b w:val="0"/>
                <w:i w:val="0"/>
                <w:color w:val="637381"/>
                <w:sz w:val="15"/>
              </w:rPr>
              <w:t>tüm yorumlar</w:t>
            </w:r>
          </w:p>
        </w:tc>
        <w:tc>
          <w:tcPr>
            <w:tcW w:type="dxa" w:w="2477"/>
            <w:shd w:fill="FBF5E8"/>
            <w:tcMar>
              <w:top w:w="130" w:type="dxa"/>
              <w:start w:w="100" w:type="dxa"/>
              <w:bottom w:w="130" w:type="dxa"/>
              <w:end w:w="100" w:type="dxa"/>
            </w:tcMar>
            <w:tcBorders>
              <w:top w:val="single" w:sz="6" w:color="E2E8EC"/>
              <w:left w:val="single" w:sz="6" w:color="E2E8EC"/>
              <w:bottom w:val="single" w:sz="6" w:color="E2E8EC"/>
              <w:right w:val="single" w:sz="6" w:color="E2E8EC"/>
            </w:tcBorders>
          </w:tcPr>
          <w:p>
            <w:pPr>
              <w:jc w:val="center"/>
            </w:pPr>
            <w:r>
              <w:rPr>
                <w:b/>
                <w:i w:val="0"/>
                <w:color w:val="17324D"/>
                <w:sz w:val="40"/>
              </w:rPr>
              <w:t>%31</w:t>
            </w:r>
          </w:p>
          <w:p>
            <w:pPr>
              <w:jc w:val="center"/>
            </w:pPr>
            <w:r>
              <w:rPr>
                <w:b/>
                <w:i w:val="0"/>
                <w:color w:val="243442"/>
                <w:sz w:val="18"/>
              </w:rPr>
              <w:t>En yüksek olumsuzluk</w:t>
            </w:r>
          </w:p>
          <w:p>
            <w:pPr>
              <w:jc w:val="center"/>
            </w:pPr>
            <w:r>
              <w:rPr>
                <w:b w:val="0"/>
                <w:i w:val="0"/>
                <w:color w:val="637381"/>
                <w:sz w:val="15"/>
              </w:rPr>
              <w:t>check-in / resepsiyon</w:t>
            </w:r>
          </w:p>
        </w:tc>
      </w:tr>
    </w:tbl>
    <w:p>
      <w:pPr>
        <w:pStyle w:val="Heading2"/>
      </w:pPr>
      <w:r>
        <w:t>Konu bazlı duygu dağılımı</w:t>
      </w:r>
    </w:p>
    <w:p>
      <w:r>
        <w:drawing>
          <wp:inline xmlns:a="http://schemas.openxmlformats.org/drawingml/2006/main" xmlns:pic="http://schemas.openxmlformats.org/drawingml/2006/picture">
            <wp:extent cx="6263640" cy="3383806"/>
            <wp:docPr id="4" name="Picture 4" descr="Altı otel deneyim konusu için olumlu nötr ve olumsuz duygu yüzdelerini gösteren ısı haritası"/>
            <wp:cNvGraphicFramePr>
              <a:graphicFrameLocks noChangeAspect="1"/>
            </wp:cNvGraphicFramePr>
            <a:graphic>
              <a:graphicData uri="http://schemas.openxmlformats.org/drawingml/2006/picture">
                <pic:pic>
                  <pic:nvPicPr>
                    <pic:cNvPr id="0" name="04_topic_sentiment_heatmap.png"/>
                    <pic:cNvPicPr/>
                  </pic:nvPicPr>
                  <pic:blipFill>
                    <a:blip r:embed="rId14"/>
                    <a:stretch>
                      <a:fillRect/>
                    </a:stretch>
                  </pic:blipFill>
                  <pic:spPr>
                    <a:xfrm>
                      <a:off x="0" y="0"/>
                      <a:ext cx="6263640" cy="3383806"/>
                    </a:xfrm>
                    <a:prstGeom prst="rect"/>
                  </pic:spPr>
                </pic:pic>
              </a:graphicData>
            </a:graphic>
          </wp:inline>
        </w:drawing>
      </w:r>
    </w:p>
    <w:p>
      <w:pPr>
        <w:spacing w:before="60" w:after="160"/>
        <w:jc w:val="center"/>
      </w:pPr>
      <w:r>
        <w:rPr>
          <w:b w:val="0"/>
          <w:i/>
          <w:color w:val="637381"/>
          <w:sz w:val="16"/>
        </w:rPr>
        <w:t>Şekil 4. Konu bazlı duygu analizi, genel sentiment dağılımının saklayabileceği operasyonel yoğunlaşmaları görünür kılar.</w:t>
      </w:r>
    </w:p>
    <w:tbl>
      <w:tblPr>
        <w:tblW w:type="auto" w:w="0"/>
        <w:jc w:val="center"/>
        <w:tblLayout w:type="fixed"/>
        <w:tblLook w:firstColumn="1" w:firstRow="1" w:lastColumn="0" w:lastRow="0" w:noHBand="0" w:noVBand="1" w:val="04A0"/>
      </w:tblPr>
      <w:tblGrid>
        <w:gridCol w:w="2033"/>
        <w:gridCol w:w="2033"/>
        <w:gridCol w:w="2033"/>
        <w:gridCol w:w="2033"/>
        <w:gridCol w:w="2033"/>
      </w:tblGrid>
      <w:tr>
        <w:trPr>
          <w:tblHeader w:val="true"/>
        </w:trPr>
        <w:tc>
          <w:tcPr>
            <w:tcW w:type="dxa" w:w="3240"/>
            <w:shd w:fill="17324D"/>
            <w:tcMar>
              <w:top w:w="80" w:type="dxa"/>
              <w:start w:w="80" w:type="dxa"/>
              <w:bottom w:w="80" w:type="dxa"/>
              <w:end w:w="80" w:type="dxa"/>
            </w:tcMar>
            <w:vAlign w:val="center"/>
          </w:tcPr>
          <w:p>
            <w:pPr>
              <w:jc w:val="center"/>
            </w:pPr>
            <w:r>
              <w:rPr>
                <w:b/>
                <w:i w:val="0"/>
                <w:color w:val="FFFFFF"/>
                <w:sz w:val="17"/>
              </w:rPr>
              <w:t>Konu</w:t>
            </w:r>
          </w:p>
        </w:tc>
        <w:tc>
          <w:tcPr>
            <w:tcW w:type="dxa" w:w="1584"/>
            <w:shd w:fill="17324D"/>
            <w:tcMar>
              <w:top w:w="80" w:type="dxa"/>
              <w:start w:w="80" w:type="dxa"/>
              <w:bottom w:w="80" w:type="dxa"/>
              <w:end w:w="80" w:type="dxa"/>
            </w:tcMar>
            <w:vAlign w:val="center"/>
          </w:tcPr>
          <w:p>
            <w:pPr>
              <w:jc w:val="center"/>
            </w:pPr>
            <w:r>
              <w:rPr>
                <w:b/>
                <w:i w:val="0"/>
                <w:color w:val="FFFFFF"/>
                <w:sz w:val="17"/>
              </w:rPr>
              <w:t>Yorum Payı</w:t>
            </w:r>
          </w:p>
        </w:tc>
        <w:tc>
          <w:tcPr>
            <w:tcW w:type="dxa" w:w="1440"/>
            <w:shd w:fill="17324D"/>
            <w:tcMar>
              <w:top w:w="80" w:type="dxa"/>
              <w:start w:w="80" w:type="dxa"/>
              <w:bottom w:w="80" w:type="dxa"/>
              <w:end w:w="80" w:type="dxa"/>
            </w:tcMar>
            <w:vAlign w:val="center"/>
          </w:tcPr>
          <w:p>
            <w:pPr>
              <w:jc w:val="center"/>
            </w:pPr>
            <w:r>
              <w:rPr>
                <w:b/>
                <w:i w:val="0"/>
                <w:color w:val="FFFFFF"/>
                <w:sz w:val="17"/>
              </w:rPr>
              <w:t>Olumlu</w:t>
            </w:r>
          </w:p>
        </w:tc>
        <w:tc>
          <w:tcPr>
            <w:tcW w:type="dxa" w:w="1440"/>
            <w:shd w:fill="17324D"/>
            <w:tcMar>
              <w:top w:w="80" w:type="dxa"/>
              <w:start w:w="80" w:type="dxa"/>
              <w:bottom w:w="80" w:type="dxa"/>
              <w:end w:w="80" w:type="dxa"/>
            </w:tcMar>
            <w:vAlign w:val="center"/>
          </w:tcPr>
          <w:p>
            <w:pPr>
              <w:jc w:val="center"/>
            </w:pPr>
            <w:r>
              <w:rPr>
                <w:b/>
                <w:i w:val="0"/>
                <w:color w:val="FFFFFF"/>
                <w:sz w:val="17"/>
              </w:rPr>
              <w:t>Nötr</w:t>
            </w:r>
          </w:p>
        </w:tc>
        <w:tc>
          <w:tcPr>
            <w:tcW w:type="dxa" w:w="1440"/>
            <w:shd w:fill="17324D"/>
            <w:tcMar>
              <w:top w:w="80" w:type="dxa"/>
              <w:start w:w="80" w:type="dxa"/>
              <w:bottom w:w="80" w:type="dxa"/>
              <w:end w:w="80" w:type="dxa"/>
            </w:tcMar>
            <w:vAlign w:val="center"/>
          </w:tcPr>
          <w:p>
            <w:pPr>
              <w:jc w:val="center"/>
            </w:pPr>
            <w:r>
              <w:rPr>
                <w:b/>
                <w:i w:val="0"/>
                <w:color w:val="FFFFFF"/>
                <w:sz w:val="17"/>
              </w:rPr>
              <w:t>Olumsuz</w:t>
            </w:r>
          </w:p>
        </w:tc>
      </w:tr>
      <w:tr>
        <w:tc>
          <w:tcPr>
            <w:tcW w:type="dxa" w:w="3240"/>
            <w:shd w:fill="FFFFFF"/>
            <w:tcMar>
              <w:top w:w="70" w:type="dxa"/>
              <w:start w:w="75" w:type="dxa"/>
              <w:bottom w:w="70" w:type="dxa"/>
              <w:end w:w="75" w:type="dxa"/>
            </w:tcMar>
            <w:vAlign w:val="center"/>
            <w:tcBorders>
              <w:bottom w:val="single" w:sz="4" w:color="E6EBEF"/>
            </w:tcBorders>
          </w:tcPr>
          <w:p>
            <w:pPr>
              <w:jc w:val="left"/>
            </w:pPr>
            <w:r>
              <w:rPr>
                <w:b w:val="0"/>
                <w:i w:val="0"/>
                <w:color w:val="243442"/>
                <w:sz w:val="16"/>
              </w:rPr>
              <w:t>Personel &amp; Hizmet</w:t>
            </w:r>
          </w:p>
        </w:tc>
        <w:tc>
          <w:tcPr>
            <w:tcW w:type="dxa" w:w="1584"/>
            <w:shd w:fill="FFFFFF"/>
            <w:tcMar>
              <w:top w:w="70" w:type="dxa"/>
              <w:start w:w="75" w:type="dxa"/>
              <w:bottom w:w="70" w:type="dxa"/>
              <w:end w:w="75" w:type="dxa"/>
            </w:tcMar>
            <w:vAlign w:val="center"/>
            <w:tcBorders>
              <w:bottom w:val="single" w:sz="4" w:color="E6EBEF"/>
            </w:tcBorders>
          </w:tcPr>
          <w:p>
            <w:pPr>
              <w:jc w:val="center"/>
            </w:pPr>
            <w:r>
              <w:rPr>
                <w:b w:val="0"/>
                <w:i w:val="0"/>
                <w:color w:val="243442"/>
                <w:sz w:val="16"/>
              </w:rPr>
              <w:t>%27</w:t>
            </w:r>
          </w:p>
        </w:tc>
        <w:tc>
          <w:tcPr>
            <w:tcW w:type="dxa" w:w="1440"/>
            <w:shd w:fill="FFFFFF"/>
            <w:tcMar>
              <w:top w:w="70" w:type="dxa"/>
              <w:start w:w="75" w:type="dxa"/>
              <w:bottom w:w="70" w:type="dxa"/>
              <w:end w:w="75" w:type="dxa"/>
            </w:tcMar>
            <w:vAlign w:val="center"/>
            <w:tcBorders>
              <w:bottom w:val="single" w:sz="4" w:color="E6EBEF"/>
            </w:tcBorders>
          </w:tcPr>
          <w:p>
            <w:pPr>
              <w:jc w:val="center"/>
            </w:pPr>
            <w:r>
              <w:rPr>
                <w:b w:val="0"/>
                <w:i w:val="0"/>
                <w:color w:val="243442"/>
                <w:sz w:val="16"/>
              </w:rPr>
              <w:t>%82</w:t>
            </w:r>
          </w:p>
        </w:tc>
        <w:tc>
          <w:tcPr>
            <w:tcW w:type="dxa" w:w="1440"/>
            <w:shd w:fill="FFFFFF"/>
            <w:tcMar>
              <w:top w:w="70" w:type="dxa"/>
              <w:start w:w="75" w:type="dxa"/>
              <w:bottom w:w="70" w:type="dxa"/>
              <w:end w:w="75" w:type="dxa"/>
            </w:tcMar>
            <w:vAlign w:val="center"/>
            <w:tcBorders>
              <w:bottom w:val="single" w:sz="4" w:color="E6EBEF"/>
            </w:tcBorders>
          </w:tcPr>
          <w:p>
            <w:pPr>
              <w:jc w:val="center"/>
            </w:pPr>
            <w:r>
              <w:rPr>
                <w:b w:val="0"/>
                <w:i w:val="0"/>
                <w:color w:val="243442"/>
                <w:sz w:val="16"/>
              </w:rPr>
              <w:t>%9</w:t>
            </w:r>
          </w:p>
        </w:tc>
        <w:tc>
          <w:tcPr>
            <w:tcW w:type="dxa" w:w="1440"/>
            <w:shd w:fill="FFFFFF"/>
            <w:tcMar>
              <w:top w:w="70" w:type="dxa"/>
              <w:start w:w="75" w:type="dxa"/>
              <w:bottom w:w="70" w:type="dxa"/>
              <w:end w:w="75" w:type="dxa"/>
            </w:tcMar>
            <w:vAlign w:val="center"/>
            <w:tcBorders>
              <w:bottom w:val="single" w:sz="4" w:color="E6EBEF"/>
            </w:tcBorders>
          </w:tcPr>
          <w:p>
            <w:pPr>
              <w:jc w:val="left"/>
            </w:pPr>
            <w:r>
              <w:rPr>
                <w:b w:val="0"/>
                <w:i w:val="0"/>
                <w:color w:val="243442"/>
                <w:sz w:val="16"/>
              </w:rPr>
              <w:t>%9</w:t>
            </w:r>
          </w:p>
        </w:tc>
      </w:tr>
      <w:tr>
        <w:tc>
          <w:tcPr>
            <w:tcW w:type="dxa" w:w="3240"/>
            <w:shd w:fill="F6F8FA"/>
            <w:tcMar>
              <w:top w:w="70" w:type="dxa"/>
              <w:start w:w="75" w:type="dxa"/>
              <w:bottom w:w="70" w:type="dxa"/>
              <w:end w:w="75" w:type="dxa"/>
            </w:tcMar>
            <w:vAlign w:val="center"/>
            <w:tcBorders>
              <w:bottom w:val="single" w:sz="4" w:color="E6EBEF"/>
            </w:tcBorders>
          </w:tcPr>
          <w:p>
            <w:pPr>
              <w:jc w:val="left"/>
            </w:pPr>
            <w:r>
              <w:rPr>
                <w:b w:val="0"/>
                <w:i w:val="0"/>
                <w:color w:val="243442"/>
                <w:sz w:val="16"/>
              </w:rPr>
              <w:t>Oda &amp; Temizlik</w:t>
            </w:r>
          </w:p>
        </w:tc>
        <w:tc>
          <w:tcPr>
            <w:tcW w:type="dxa" w:w="1584"/>
            <w:shd w:fill="F6F8FA"/>
            <w:tcMar>
              <w:top w:w="70" w:type="dxa"/>
              <w:start w:w="75" w:type="dxa"/>
              <w:bottom w:w="70" w:type="dxa"/>
              <w:end w:w="75" w:type="dxa"/>
            </w:tcMar>
            <w:vAlign w:val="center"/>
            <w:tcBorders>
              <w:bottom w:val="single" w:sz="4" w:color="E6EBEF"/>
            </w:tcBorders>
          </w:tcPr>
          <w:p>
            <w:pPr>
              <w:jc w:val="center"/>
            </w:pPr>
            <w:r>
              <w:rPr>
                <w:b w:val="0"/>
                <w:i w:val="0"/>
                <w:color w:val="243442"/>
                <w:sz w:val="16"/>
              </w:rPr>
              <w:t>%23</w:t>
            </w:r>
          </w:p>
        </w:tc>
        <w:tc>
          <w:tcPr>
            <w:tcW w:type="dxa" w:w="1440"/>
            <w:shd w:fill="F6F8FA"/>
            <w:tcMar>
              <w:top w:w="70" w:type="dxa"/>
              <w:start w:w="75" w:type="dxa"/>
              <w:bottom w:w="70" w:type="dxa"/>
              <w:end w:w="75" w:type="dxa"/>
            </w:tcMar>
            <w:vAlign w:val="center"/>
            <w:tcBorders>
              <w:bottom w:val="single" w:sz="4" w:color="E6EBEF"/>
            </w:tcBorders>
          </w:tcPr>
          <w:p>
            <w:pPr>
              <w:jc w:val="center"/>
            </w:pPr>
            <w:r>
              <w:rPr>
                <w:b w:val="0"/>
                <w:i w:val="0"/>
                <w:color w:val="243442"/>
                <w:sz w:val="16"/>
              </w:rPr>
              <w:t>%69</w:t>
            </w:r>
          </w:p>
        </w:tc>
        <w:tc>
          <w:tcPr>
            <w:tcW w:type="dxa" w:w="1440"/>
            <w:shd w:fill="F6F8FA"/>
            <w:tcMar>
              <w:top w:w="70" w:type="dxa"/>
              <w:start w:w="75" w:type="dxa"/>
              <w:bottom w:w="70" w:type="dxa"/>
              <w:end w:w="75" w:type="dxa"/>
            </w:tcMar>
            <w:vAlign w:val="center"/>
            <w:tcBorders>
              <w:bottom w:val="single" w:sz="4" w:color="E6EBEF"/>
            </w:tcBorders>
          </w:tcPr>
          <w:p>
            <w:pPr>
              <w:jc w:val="center"/>
            </w:pPr>
            <w:r>
              <w:rPr>
                <w:b w:val="0"/>
                <w:i w:val="0"/>
                <w:color w:val="243442"/>
                <w:sz w:val="16"/>
              </w:rPr>
              <w:t>%9</w:t>
            </w:r>
          </w:p>
        </w:tc>
        <w:tc>
          <w:tcPr>
            <w:tcW w:type="dxa" w:w="1440"/>
            <w:shd w:fill="F6F8FA"/>
            <w:tcMar>
              <w:top w:w="70" w:type="dxa"/>
              <w:start w:w="75" w:type="dxa"/>
              <w:bottom w:w="70" w:type="dxa"/>
              <w:end w:w="75" w:type="dxa"/>
            </w:tcMar>
            <w:vAlign w:val="center"/>
            <w:tcBorders>
              <w:bottom w:val="single" w:sz="4" w:color="E6EBEF"/>
            </w:tcBorders>
          </w:tcPr>
          <w:p>
            <w:pPr>
              <w:jc w:val="left"/>
            </w:pPr>
            <w:r>
              <w:rPr>
                <w:b w:val="0"/>
                <w:i w:val="0"/>
                <w:color w:val="243442"/>
                <w:sz w:val="16"/>
              </w:rPr>
              <w:t>%22</w:t>
            </w:r>
          </w:p>
        </w:tc>
      </w:tr>
      <w:tr>
        <w:tc>
          <w:tcPr>
            <w:tcW w:type="dxa" w:w="3240"/>
            <w:shd w:fill="FFFFFF"/>
            <w:tcMar>
              <w:top w:w="70" w:type="dxa"/>
              <w:start w:w="75" w:type="dxa"/>
              <w:bottom w:w="70" w:type="dxa"/>
              <w:end w:w="75" w:type="dxa"/>
            </w:tcMar>
            <w:vAlign w:val="center"/>
            <w:tcBorders>
              <w:bottom w:val="single" w:sz="4" w:color="E6EBEF"/>
            </w:tcBorders>
          </w:tcPr>
          <w:p>
            <w:pPr>
              <w:jc w:val="left"/>
            </w:pPr>
            <w:r>
              <w:rPr>
                <w:b w:val="0"/>
                <w:i w:val="0"/>
                <w:color w:val="243442"/>
                <w:sz w:val="16"/>
              </w:rPr>
              <w:t>Yiyecek &amp; İçecek</w:t>
            </w:r>
          </w:p>
        </w:tc>
        <w:tc>
          <w:tcPr>
            <w:tcW w:type="dxa" w:w="1584"/>
            <w:shd w:fill="FFFFFF"/>
            <w:tcMar>
              <w:top w:w="70" w:type="dxa"/>
              <w:start w:w="75" w:type="dxa"/>
              <w:bottom w:w="70" w:type="dxa"/>
              <w:end w:w="75" w:type="dxa"/>
            </w:tcMar>
            <w:vAlign w:val="center"/>
            <w:tcBorders>
              <w:bottom w:val="single" w:sz="4" w:color="E6EBEF"/>
            </w:tcBorders>
          </w:tcPr>
          <w:p>
            <w:pPr>
              <w:jc w:val="center"/>
            </w:pPr>
            <w:r>
              <w:rPr>
                <w:b w:val="0"/>
                <w:i w:val="0"/>
                <w:color w:val="243442"/>
                <w:sz w:val="16"/>
              </w:rPr>
              <w:t>%19</w:t>
            </w:r>
          </w:p>
        </w:tc>
        <w:tc>
          <w:tcPr>
            <w:tcW w:type="dxa" w:w="1440"/>
            <w:shd w:fill="FFFFFF"/>
            <w:tcMar>
              <w:top w:w="70" w:type="dxa"/>
              <w:start w:w="75" w:type="dxa"/>
              <w:bottom w:w="70" w:type="dxa"/>
              <w:end w:w="75" w:type="dxa"/>
            </w:tcMar>
            <w:vAlign w:val="center"/>
            <w:tcBorders>
              <w:bottom w:val="single" w:sz="4" w:color="E6EBEF"/>
            </w:tcBorders>
          </w:tcPr>
          <w:p>
            <w:pPr>
              <w:jc w:val="center"/>
            </w:pPr>
            <w:r>
              <w:rPr>
                <w:b w:val="0"/>
                <w:i w:val="0"/>
                <w:color w:val="243442"/>
                <w:sz w:val="16"/>
              </w:rPr>
              <w:t>%74</w:t>
            </w:r>
          </w:p>
        </w:tc>
        <w:tc>
          <w:tcPr>
            <w:tcW w:type="dxa" w:w="1440"/>
            <w:shd w:fill="FFFFFF"/>
            <w:tcMar>
              <w:top w:w="70" w:type="dxa"/>
              <w:start w:w="75" w:type="dxa"/>
              <w:bottom w:w="70" w:type="dxa"/>
              <w:end w:w="75" w:type="dxa"/>
            </w:tcMar>
            <w:vAlign w:val="center"/>
            <w:tcBorders>
              <w:bottom w:val="single" w:sz="4" w:color="E6EBEF"/>
            </w:tcBorders>
          </w:tcPr>
          <w:p>
            <w:pPr>
              <w:jc w:val="center"/>
            </w:pPr>
            <w:r>
              <w:rPr>
                <w:b w:val="0"/>
                <w:i w:val="0"/>
                <w:color w:val="243442"/>
                <w:sz w:val="16"/>
              </w:rPr>
              <w:t>%10</w:t>
            </w:r>
          </w:p>
        </w:tc>
        <w:tc>
          <w:tcPr>
            <w:tcW w:type="dxa" w:w="1440"/>
            <w:shd w:fill="FFFFFF"/>
            <w:tcMar>
              <w:top w:w="70" w:type="dxa"/>
              <w:start w:w="75" w:type="dxa"/>
              <w:bottom w:w="70" w:type="dxa"/>
              <w:end w:w="75" w:type="dxa"/>
            </w:tcMar>
            <w:vAlign w:val="center"/>
            <w:tcBorders>
              <w:bottom w:val="single" w:sz="4" w:color="E6EBEF"/>
            </w:tcBorders>
          </w:tcPr>
          <w:p>
            <w:pPr>
              <w:jc w:val="left"/>
            </w:pPr>
            <w:r>
              <w:rPr>
                <w:b w:val="0"/>
                <w:i w:val="0"/>
                <w:color w:val="243442"/>
                <w:sz w:val="16"/>
              </w:rPr>
              <w:t>%16</w:t>
            </w:r>
          </w:p>
        </w:tc>
      </w:tr>
      <w:tr>
        <w:tc>
          <w:tcPr>
            <w:tcW w:type="dxa" w:w="3240"/>
            <w:shd w:fill="F6F8FA"/>
            <w:tcMar>
              <w:top w:w="70" w:type="dxa"/>
              <w:start w:w="75" w:type="dxa"/>
              <w:bottom w:w="70" w:type="dxa"/>
              <w:end w:w="75" w:type="dxa"/>
            </w:tcMar>
            <w:vAlign w:val="center"/>
            <w:tcBorders>
              <w:bottom w:val="single" w:sz="4" w:color="E6EBEF"/>
            </w:tcBorders>
          </w:tcPr>
          <w:p>
            <w:pPr>
              <w:jc w:val="left"/>
            </w:pPr>
            <w:r>
              <w:rPr>
                <w:b w:val="0"/>
                <w:i w:val="0"/>
                <w:color w:val="243442"/>
                <w:sz w:val="16"/>
              </w:rPr>
              <w:t>Check-in / Resepsiyon</w:t>
            </w:r>
          </w:p>
        </w:tc>
        <w:tc>
          <w:tcPr>
            <w:tcW w:type="dxa" w:w="1584"/>
            <w:shd w:fill="F6F8FA"/>
            <w:tcMar>
              <w:top w:w="70" w:type="dxa"/>
              <w:start w:w="75" w:type="dxa"/>
              <w:bottom w:w="70" w:type="dxa"/>
              <w:end w:w="75" w:type="dxa"/>
            </w:tcMar>
            <w:vAlign w:val="center"/>
            <w:tcBorders>
              <w:bottom w:val="single" w:sz="4" w:color="E6EBEF"/>
            </w:tcBorders>
          </w:tcPr>
          <w:p>
            <w:pPr>
              <w:jc w:val="center"/>
            </w:pPr>
            <w:r>
              <w:rPr>
                <w:b w:val="0"/>
                <w:i w:val="0"/>
                <w:color w:val="243442"/>
                <w:sz w:val="16"/>
              </w:rPr>
              <w:t>%12</w:t>
            </w:r>
          </w:p>
        </w:tc>
        <w:tc>
          <w:tcPr>
            <w:tcW w:type="dxa" w:w="1440"/>
            <w:shd w:fill="F6F8FA"/>
            <w:tcMar>
              <w:top w:w="70" w:type="dxa"/>
              <w:start w:w="75" w:type="dxa"/>
              <w:bottom w:w="70" w:type="dxa"/>
              <w:end w:w="75" w:type="dxa"/>
            </w:tcMar>
            <w:vAlign w:val="center"/>
            <w:tcBorders>
              <w:bottom w:val="single" w:sz="4" w:color="E6EBEF"/>
            </w:tcBorders>
          </w:tcPr>
          <w:p>
            <w:pPr>
              <w:jc w:val="center"/>
            </w:pPr>
            <w:r>
              <w:rPr>
                <w:b w:val="0"/>
                <w:i w:val="0"/>
                <w:color w:val="243442"/>
                <w:sz w:val="16"/>
              </w:rPr>
              <w:t>%61</w:t>
            </w:r>
          </w:p>
        </w:tc>
        <w:tc>
          <w:tcPr>
            <w:tcW w:type="dxa" w:w="1440"/>
            <w:shd w:fill="F6F8FA"/>
            <w:tcMar>
              <w:top w:w="70" w:type="dxa"/>
              <w:start w:w="75" w:type="dxa"/>
              <w:bottom w:w="70" w:type="dxa"/>
              <w:end w:w="75" w:type="dxa"/>
            </w:tcMar>
            <w:vAlign w:val="center"/>
            <w:tcBorders>
              <w:bottom w:val="single" w:sz="4" w:color="E6EBEF"/>
            </w:tcBorders>
          </w:tcPr>
          <w:p>
            <w:pPr>
              <w:jc w:val="center"/>
            </w:pPr>
            <w:r>
              <w:rPr>
                <w:b w:val="0"/>
                <w:i w:val="0"/>
                <w:color w:val="243442"/>
                <w:sz w:val="16"/>
              </w:rPr>
              <w:t>%8</w:t>
            </w:r>
          </w:p>
        </w:tc>
        <w:tc>
          <w:tcPr>
            <w:tcW w:type="dxa" w:w="1440"/>
            <w:shd w:fill="F6F8FA"/>
            <w:tcMar>
              <w:top w:w="70" w:type="dxa"/>
              <w:start w:w="75" w:type="dxa"/>
              <w:bottom w:w="70" w:type="dxa"/>
              <w:end w:w="75" w:type="dxa"/>
            </w:tcMar>
            <w:vAlign w:val="center"/>
            <w:tcBorders>
              <w:bottom w:val="single" w:sz="4" w:color="E6EBEF"/>
            </w:tcBorders>
          </w:tcPr>
          <w:p>
            <w:pPr>
              <w:jc w:val="left"/>
            </w:pPr>
            <w:r>
              <w:rPr>
                <w:b w:val="0"/>
                <w:i w:val="0"/>
                <w:color w:val="243442"/>
                <w:sz w:val="16"/>
              </w:rPr>
              <w:t>%31</w:t>
            </w:r>
          </w:p>
        </w:tc>
      </w:tr>
      <w:tr>
        <w:tc>
          <w:tcPr>
            <w:tcW w:type="dxa" w:w="3240"/>
            <w:shd w:fill="FFFFFF"/>
            <w:tcMar>
              <w:top w:w="70" w:type="dxa"/>
              <w:start w:w="75" w:type="dxa"/>
              <w:bottom w:w="70" w:type="dxa"/>
              <w:end w:w="75" w:type="dxa"/>
            </w:tcMar>
            <w:vAlign w:val="center"/>
            <w:tcBorders>
              <w:bottom w:val="single" w:sz="4" w:color="E6EBEF"/>
            </w:tcBorders>
          </w:tcPr>
          <w:p>
            <w:pPr>
              <w:jc w:val="left"/>
            </w:pPr>
            <w:r>
              <w:rPr>
                <w:b w:val="0"/>
                <w:i w:val="0"/>
                <w:color w:val="243442"/>
                <w:sz w:val="16"/>
              </w:rPr>
              <w:t>Havuz &amp; Tesisler</w:t>
            </w:r>
          </w:p>
        </w:tc>
        <w:tc>
          <w:tcPr>
            <w:tcW w:type="dxa" w:w="1584"/>
            <w:shd w:fill="FFFFFF"/>
            <w:tcMar>
              <w:top w:w="70" w:type="dxa"/>
              <w:start w:w="75" w:type="dxa"/>
              <w:bottom w:w="70" w:type="dxa"/>
              <w:end w:w="75" w:type="dxa"/>
            </w:tcMar>
            <w:vAlign w:val="center"/>
            <w:tcBorders>
              <w:bottom w:val="single" w:sz="4" w:color="E6EBEF"/>
            </w:tcBorders>
          </w:tcPr>
          <w:p>
            <w:pPr>
              <w:jc w:val="center"/>
            </w:pPr>
            <w:r>
              <w:rPr>
                <w:b w:val="0"/>
                <w:i w:val="0"/>
                <w:color w:val="243442"/>
                <w:sz w:val="16"/>
              </w:rPr>
              <w:t>%11</w:t>
            </w:r>
          </w:p>
        </w:tc>
        <w:tc>
          <w:tcPr>
            <w:tcW w:type="dxa" w:w="1440"/>
            <w:shd w:fill="FFFFFF"/>
            <w:tcMar>
              <w:top w:w="70" w:type="dxa"/>
              <w:start w:w="75" w:type="dxa"/>
              <w:bottom w:w="70" w:type="dxa"/>
              <w:end w:w="75" w:type="dxa"/>
            </w:tcMar>
            <w:vAlign w:val="center"/>
            <w:tcBorders>
              <w:bottom w:val="single" w:sz="4" w:color="E6EBEF"/>
            </w:tcBorders>
          </w:tcPr>
          <w:p>
            <w:pPr>
              <w:jc w:val="center"/>
            </w:pPr>
            <w:r>
              <w:rPr>
                <w:b w:val="0"/>
                <w:i w:val="0"/>
                <w:color w:val="243442"/>
                <w:sz w:val="16"/>
              </w:rPr>
              <w:t>%79</w:t>
            </w:r>
          </w:p>
        </w:tc>
        <w:tc>
          <w:tcPr>
            <w:tcW w:type="dxa" w:w="1440"/>
            <w:shd w:fill="FFFFFF"/>
            <w:tcMar>
              <w:top w:w="70" w:type="dxa"/>
              <w:start w:w="75" w:type="dxa"/>
              <w:bottom w:w="70" w:type="dxa"/>
              <w:end w:w="75" w:type="dxa"/>
            </w:tcMar>
            <w:vAlign w:val="center"/>
            <w:tcBorders>
              <w:bottom w:val="single" w:sz="4" w:color="E6EBEF"/>
            </w:tcBorders>
          </w:tcPr>
          <w:p>
            <w:pPr>
              <w:jc w:val="center"/>
            </w:pPr>
            <w:r>
              <w:rPr>
                <w:b w:val="0"/>
                <w:i w:val="0"/>
                <w:color w:val="243442"/>
                <w:sz w:val="16"/>
              </w:rPr>
              <w:t>%9</w:t>
            </w:r>
          </w:p>
        </w:tc>
        <w:tc>
          <w:tcPr>
            <w:tcW w:type="dxa" w:w="1440"/>
            <w:shd w:fill="FFFFFF"/>
            <w:tcMar>
              <w:top w:w="70" w:type="dxa"/>
              <w:start w:w="75" w:type="dxa"/>
              <w:bottom w:w="70" w:type="dxa"/>
              <w:end w:w="75" w:type="dxa"/>
            </w:tcMar>
            <w:vAlign w:val="center"/>
            <w:tcBorders>
              <w:bottom w:val="single" w:sz="4" w:color="E6EBEF"/>
            </w:tcBorders>
          </w:tcPr>
          <w:p>
            <w:pPr>
              <w:jc w:val="left"/>
            </w:pPr>
            <w:r>
              <w:rPr>
                <w:b w:val="0"/>
                <w:i w:val="0"/>
                <w:color w:val="243442"/>
                <w:sz w:val="16"/>
              </w:rPr>
              <w:t>%12</w:t>
            </w:r>
          </w:p>
        </w:tc>
      </w:tr>
      <w:tr>
        <w:tc>
          <w:tcPr>
            <w:tcW w:type="dxa" w:w="3240"/>
            <w:shd w:fill="F6F8FA"/>
            <w:tcMar>
              <w:top w:w="70" w:type="dxa"/>
              <w:start w:w="75" w:type="dxa"/>
              <w:bottom w:w="70" w:type="dxa"/>
              <w:end w:w="75" w:type="dxa"/>
            </w:tcMar>
            <w:vAlign w:val="center"/>
            <w:tcBorders>
              <w:bottom w:val="single" w:sz="4" w:color="E6EBEF"/>
            </w:tcBorders>
          </w:tcPr>
          <w:p>
            <w:pPr>
              <w:jc w:val="left"/>
            </w:pPr>
            <w:r>
              <w:rPr>
                <w:b w:val="0"/>
                <w:i w:val="0"/>
                <w:color w:val="243442"/>
                <w:sz w:val="16"/>
              </w:rPr>
              <w:t>Konum</w:t>
            </w:r>
          </w:p>
        </w:tc>
        <w:tc>
          <w:tcPr>
            <w:tcW w:type="dxa" w:w="1584"/>
            <w:shd w:fill="F6F8FA"/>
            <w:tcMar>
              <w:top w:w="70" w:type="dxa"/>
              <w:start w:w="75" w:type="dxa"/>
              <w:bottom w:w="70" w:type="dxa"/>
              <w:end w:w="75" w:type="dxa"/>
            </w:tcMar>
            <w:vAlign w:val="center"/>
            <w:tcBorders>
              <w:bottom w:val="single" w:sz="4" w:color="E6EBEF"/>
            </w:tcBorders>
          </w:tcPr>
          <w:p>
            <w:pPr>
              <w:jc w:val="center"/>
            </w:pPr>
            <w:r>
              <w:rPr>
                <w:b w:val="0"/>
                <w:i w:val="0"/>
                <w:color w:val="243442"/>
                <w:sz w:val="16"/>
              </w:rPr>
              <w:t>%8</w:t>
            </w:r>
          </w:p>
        </w:tc>
        <w:tc>
          <w:tcPr>
            <w:tcW w:type="dxa" w:w="1440"/>
            <w:shd w:fill="F6F8FA"/>
            <w:tcMar>
              <w:top w:w="70" w:type="dxa"/>
              <w:start w:w="75" w:type="dxa"/>
              <w:bottom w:w="70" w:type="dxa"/>
              <w:end w:w="75" w:type="dxa"/>
            </w:tcMar>
            <w:vAlign w:val="center"/>
            <w:tcBorders>
              <w:bottom w:val="single" w:sz="4" w:color="E6EBEF"/>
            </w:tcBorders>
          </w:tcPr>
          <w:p>
            <w:pPr>
              <w:jc w:val="center"/>
            </w:pPr>
            <w:r>
              <w:rPr>
                <w:b w:val="0"/>
                <w:i w:val="0"/>
                <w:color w:val="243442"/>
                <w:sz w:val="16"/>
              </w:rPr>
              <w:t>%88</w:t>
            </w:r>
          </w:p>
        </w:tc>
        <w:tc>
          <w:tcPr>
            <w:tcW w:type="dxa" w:w="1440"/>
            <w:shd w:fill="F6F8FA"/>
            <w:tcMar>
              <w:top w:w="70" w:type="dxa"/>
              <w:start w:w="75" w:type="dxa"/>
              <w:bottom w:w="70" w:type="dxa"/>
              <w:end w:w="75" w:type="dxa"/>
            </w:tcMar>
            <w:vAlign w:val="center"/>
            <w:tcBorders>
              <w:bottom w:val="single" w:sz="4" w:color="E6EBEF"/>
            </w:tcBorders>
          </w:tcPr>
          <w:p>
            <w:pPr>
              <w:jc w:val="center"/>
            </w:pPr>
            <w:r>
              <w:rPr>
                <w:b w:val="0"/>
                <w:i w:val="0"/>
                <w:color w:val="243442"/>
                <w:sz w:val="16"/>
              </w:rPr>
              <w:t>%7</w:t>
            </w:r>
          </w:p>
        </w:tc>
        <w:tc>
          <w:tcPr>
            <w:tcW w:type="dxa" w:w="1440"/>
            <w:shd w:fill="F6F8FA"/>
            <w:tcMar>
              <w:top w:w="70" w:type="dxa"/>
              <w:start w:w="75" w:type="dxa"/>
              <w:bottom w:w="70" w:type="dxa"/>
              <w:end w:w="75" w:type="dxa"/>
            </w:tcMar>
            <w:vAlign w:val="center"/>
            <w:tcBorders>
              <w:bottom w:val="single" w:sz="4" w:color="E6EBEF"/>
            </w:tcBorders>
          </w:tcPr>
          <w:p>
            <w:pPr>
              <w:jc w:val="left"/>
            </w:pPr>
            <w:r>
              <w:rPr>
                <w:b w:val="0"/>
                <w:i w:val="0"/>
                <w:color w:val="243442"/>
                <w:sz w:val="16"/>
              </w:rPr>
              <w:t>%5</w:t>
            </w:r>
          </w:p>
        </w:tc>
      </w:tr>
    </w:tbl>
    <w:tbl>
      <w:tblPr>
        <w:tblW w:type="auto" w:w="0"/>
        <w:jc w:val="center"/>
        <w:tblLook w:firstColumn="1" w:firstRow="1" w:lastColumn="0" w:lastRow="0" w:noHBand="0" w:noVBand="1" w:val="04A0"/>
      </w:tblPr>
      <w:tblGrid>
        <w:gridCol w:w="10166"/>
      </w:tblGrid>
      <w:tr>
        <w:tc>
          <w:tcPr>
            <w:tcW w:type="dxa" w:w="10166"/>
            <w:shd w:fill="F4F7F9"/>
            <w:tcMar>
              <w:top w:w="130" w:type="dxa"/>
              <w:start w:w="160" w:type="dxa"/>
              <w:bottom w:w="130" w:type="dxa"/>
              <w:end w:w="160" w:type="dxa"/>
            </w:tcMar>
            <w:tcBorders>
              <w:left w:val="single" w:sz="18" w:color="1F7A8C"/>
            </w:tcBorders>
          </w:tcPr>
          <w:p>
            <w:r>
              <w:rPr>
                <w:b/>
                <w:i w:val="0"/>
                <w:color w:val="17324D"/>
                <w:sz w:val="21"/>
              </w:rPr>
              <w:t>Örnek yorum kümesi</w:t>
            </w:r>
          </w:p>
          <w:p>
            <w:pPr>
              <w:spacing w:after="0"/>
            </w:pPr>
            <w:r>
              <w:rPr>
                <w:b w:val="0"/>
                <w:i w:val="0"/>
                <w:color w:val="243442"/>
                <w:sz w:val="18"/>
              </w:rPr>
              <w:t>Check-in / Resepsiyon: “Genel olarak otelden memnun kaldık; ancak giriş sırasında uzun süre bekledik.”  |  Oda &amp; Temizlik: “Oda konforluydu fakat temizlik standardı her gün aynı değildi.”  Bu örnekler sentetiktir ve rapor formatını göstermek amacıyla verilmiştir.</w:t>
            </w:r>
          </w:p>
        </w:tc>
      </w:tr>
    </w:tbl>
    <w:tbl>
      <w:tblPr>
        <w:tblW w:type="auto" w:w="0"/>
        <w:jc w:val="center"/>
        <w:tblLook w:firstColumn="1" w:firstRow="1" w:lastColumn="0" w:lastRow="0" w:noHBand="0" w:noVBand="1" w:val="04A0"/>
      </w:tblPr>
      <w:tblGrid>
        <w:gridCol w:w="10166"/>
      </w:tblGrid>
      <w:tr>
        <w:tc>
          <w:tcPr>
            <w:tcW w:type="dxa" w:w="10166"/>
            <w:shd w:fill="FBF5E8"/>
            <w:tcMar>
              <w:top w:w="130" w:type="dxa"/>
              <w:start w:w="160" w:type="dxa"/>
              <w:bottom w:w="130" w:type="dxa"/>
              <w:end w:w="160" w:type="dxa"/>
            </w:tcMar>
            <w:tcBorders>
              <w:left w:val="single" w:sz="18" w:color="1F7A8C"/>
            </w:tcBorders>
          </w:tcPr>
          <w:p>
            <w:r>
              <w:rPr>
                <w:b/>
                <w:i w:val="0"/>
                <w:color w:val="17324D"/>
                <w:sz w:val="21"/>
              </w:rPr>
              <w:t>Yönetim yorumu</w:t>
            </w:r>
          </w:p>
          <w:p>
            <w:pPr>
              <w:spacing w:after="0"/>
            </w:pPr>
            <w:r>
              <w:rPr>
                <w:b w:val="0"/>
                <w:i w:val="0"/>
                <w:color w:val="243442"/>
                <w:sz w:val="18"/>
              </w:rPr>
              <w:t>Olumsuz duygu tüm yorumlarda %16 iken, check-in/resepsiyon başlığında %31’e çıkmaktadır. Önceliklendirme, genel duygu oranına değil konu bazlı yoğunlaşmaya göre yapılmalıdır.</w:t>
            </w:r>
          </w:p>
        </w:tc>
      </w:tr>
    </w:tbl>
    <w:p>
      <w:pPr>
        <w:pStyle w:val="Heading1"/>
        <w:keepNext/>
        <w:pBdr>
          <w:bottom w:val="single" w:sz="16" w:space="3" w:color="D7A84B"/>
        </w:pBdr>
      </w:pPr>
      <w:r>
        <w:rPr>
          <w:b/>
          <w:color w:val="17324D"/>
        </w:rPr>
        <w:t>06. Churn Risk Analizi</w:t>
      </w:r>
    </w:p>
    <w:p>
      <w:pPr>
        <w:spacing w:after="160"/>
      </w:pPr>
      <w:r>
        <w:rPr>
          <w:b w:val="0"/>
          <w:i/>
          <w:color w:val="637381"/>
          <w:sz w:val="19"/>
        </w:rPr>
        <w:t>Kimlerin ayrılma riski taşıdığını ve hangi davranışların riski artırdığını görmek</w:t>
      </w:r>
    </w:p>
    <w:p>
      <w:r>
        <w:rPr>
          <w:b w:val="0"/>
          <w:i w:val="0"/>
          <w:color w:val="243442"/>
          <w:sz w:val="19"/>
        </w:rPr>
        <w:t>Churn modeli, sadakat tabanında veya tekrar rezervasyon potansiyeli bulunan misafirlerde davranışsal yavaşlama sinyallerini bir araya getirir. Amaç kesin bir “ayrılacak / ayrılmayacak” hükmü vermek değil, müdahale önceliğini belirlemektir.</w:t>
      </w:r>
    </w:p>
    <w:tbl>
      <w:tblPr>
        <w:tblW w:type="auto" w:w="0"/>
        <w:jc w:val="center"/>
        <w:tblLayout w:type="fixed"/>
        <w:tblLook w:firstColumn="1" w:firstRow="1" w:lastColumn="0" w:lastRow="0" w:noHBand="0" w:noVBand="1" w:val="04A0"/>
      </w:tblPr>
      <w:tblGrid>
        <w:gridCol w:w="2541"/>
        <w:gridCol w:w="2541"/>
        <w:gridCol w:w="2541"/>
        <w:gridCol w:w="2541"/>
      </w:tblGrid>
      <w:tr>
        <w:tc>
          <w:tcPr>
            <w:tcW w:type="dxa" w:w="2477"/>
            <w:shd w:fill="EAF4F5"/>
            <w:tcMar>
              <w:top w:w="130" w:type="dxa"/>
              <w:start w:w="100" w:type="dxa"/>
              <w:bottom w:w="130" w:type="dxa"/>
              <w:end w:w="100" w:type="dxa"/>
            </w:tcMar>
            <w:tcBorders>
              <w:top w:val="single" w:sz="6" w:color="E2E8EC"/>
              <w:left w:val="single" w:sz="6" w:color="E2E8EC"/>
              <w:bottom w:val="single" w:sz="6" w:color="E2E8EC"/>
              <w:right w:val="single" w:sz="6" w:color="E2E8EC"/>
            </w:tcBorders>
          </w:tcPr>
          <w:p>
            <w:pPr>
              <w:jc w:val="center"/>
            </w:pPr>
            <w:r>
              <w:rPr>
                <w:b/>
                <w:i w:val="0"/>
                <w:color w:val="17324D"/>
                <w:sz w:val="40"/>
              </w:rPr>
              <w:t>%71</w:t>
            </w:r>
          </w:p>
          <w:p>
            <w:pPr>
              <w:jc w:val="center"/>
            </w:pPr>
            <w:r>
              <w:rPr>
                <w:b/>
                <w:i w:val="0"/>
                <w:color w:val="243442"/>
                <w:sz w:val="18"/>
              </w:rPr>
              <w:t>Düşük Risk</w:t>
            </w:r>
          </w:p>
          <w:p>
            <w:pPr>
              <w:jc w:val="center"/>
            </w:pPr>
            <w:r>
              <w:rPr>
                <w:b w:val="0"/>
                <w:i w:val="0"/>
                <w:color w:val="637381"/>
                <w:sz w:val="15"/>
              </w:rPr>
              <w:t>düzenli davranış</w:t>
            </w:r>
          </w:p>
        </w:tc>
        <w:tc>
          <w:tcPr>
            <w:tcW w:type="dxa" w:w="2477"/>
            <w:shd w:fill="F4F7F9"/>
            <w:tcMar>
              <w:top w:w="130" w:type="dxa"/>
              <w:start w:w="100" w:type="dxa"/>
              <w:bottom w:w="130" w:type="dxa"/>
              <w:end w:w="100" w:type="dxa"/>
            </w:tcMar>
            <w:tcBorders>
              <w:top w:val="single" w:sz="6" w:color="E2E8EC"/>
              <w:left w:val="single" w:sz="6" w:color="E2E8EC"/>
              <w:bottom w:val="single" w:sz="6" w:color="E2E8EC"/>
              <w:right w:val="single" w:sz="6" w:color="E2E8EC"/>
            </w:tcBorders>
          </w:tcPr>
          <w:p>
            <w:pPr>
              <w:jc w:val="center"/>
            </w:pPr>
            <w:r>
              <w:rPr>
                <w:b/>
                <w:i w:val="0"/>
                <w:color w:val="17324D"/>
                <w:sz w:val="40"/>
              </w:rPr>
              <w:t>%21</w:t>
            </w:r>
          </w:p>
          <w:p>
            <w:pPr>
              <w:jc w:val="center"/>
            </w:pPr>
            <w:r>
              <w:rPr>
                <w:b/>
                <w:i w:val="0"/>
                <w:color w:val="243442"/>
                <w:sz w:val="18"/>
              </w:rPr>
              <w:t>Orta Risk</w:t>
            </w:r>
          </w:p>
          <w:p>
            <w:pPr>
              <w:jc w:val="center"/>
            </w:pPr>
            <w:r>
              <w:rPr>
                <w:b w:val="0"/>
                <w:i w:val="0"/>
                <w:color w:val="637381"/>
                <w:sz w:val="15"/>
              </w:rPr>
              <w:t>erken uyarı</w:t>
            </w:r>
          </w:p>
        </w:tc>
        <w:tc>
          <w:tcPr>
            <w:tcW w:type="dxa" w:w="2477"/>
            <w:shd w:fill="FBF5E8"/>
            <w:tcMar>
              <w:top w:w="130" w:type="dxa"/>
              <w:start w:w="100" w:type="dxa"/>
              <w:bottom w:w="130" w:type="dxa"/>
              <w:end w:w="100" w:type="dxa"/>
            </w:tcMar>
            <w:tcBorders>
              <w:top w:val="single" w:sz="6" w:color="E2E8EC"/>
              <w:left w:val="single" w:sz="6" w:color="E2E8EC"/>
              <w:bottom w:val="single" w:sz="6" w:color="E2E8EC"/>
              <w:right w:val="single" w:sz="6" w:color="E2E8EC"/>
            </w:tcBorders>
          </w:tcPr>
          <w:p>
            <w:pPr>
              <w:jc w:val="center"/>
            </w:pPr>
            <w:r>
              <w:rPr>
                <w:b/>
                <w:i w:val="0"/>
                <w:color w:val="17324D"/>
                <w:sz w:val="40"/>
              </w:rPr>
              <w:t>%8</w:t>
            </w:r>
          </w:p>
          <w:p>
            <w:pPr>
              <w:jc w:val="center"/>
            </w:pPr>
            <w:r>
              <w:rPr>
                <w:b/>
                <w:i w:val="0"/>
                <w:color w:val="243442"/>
                <w:sz w:val="18"/>
              </w:rPr>
              <w:t>Yüksek Risk</w:t>
            </w:r>
          </w:p>
          <w:p>
            <w:pPr>
              <w:jc w:val="center"/>
            </w:pPr>
            <w:r>
              <w:rPr>
                <w:b w:val="0"/>
                <w:i w:val="0"/>
                <w:color w:val="637381"/>
                <w:sz w:val="15"/>
              </w:rPr>
              <w:t>öncelikli aksiyon</w:t>
            </w:r>
          </w:p>
        </w:tc>
        <w:tc>
          <w:tcPr>
            <w:tcW w:type="dxa" w:w="2477"/>
            <w:shd w:fill="F4F7F9"/>
            <w:tcMar>
              <w:top w:w="130" w:type="dxa"/>
              <w:start w:w="100" w:type="dxa"/>
              <w:bottom w:w="130" w:type="dxa"/>
              <w:end w:w="100" w:type="dxa"/>
            </w:tcMar>
            <w:tcBorders>
              <w:top w:val="single" w:sz="6" w:color="E2E8EC"/>
              <w:left w:val="single" w:sz="6" w:color="E2E8EC"/>
              <w:bottom w:val="single" w:sz="6" w:color="E2E8EC"/>
              <w:right w:val="single" w:sz="6" w:color="E2E8EC"/>
            </w:tcBorders>
          </w:tcPr>
          <w:p>
            <w:pPr>
              <w:jc w:val="center"/>
            </w:pPr>
            <w:r>
              <w:rPr>
                <w:b/>
                <w:i w:val="0"/>
                <w:color w:val="17324D"/>
                <w:sz w:val="40"/>
              </w:rPr>
              <w:t>3 ay</w:t>
            </w:r>
          </w:p>
          <w:p>
            <w:pPr>
              <w:jc w:val="center"/>
            </w:pPr>
            <w:r>
              <w:rPr>
                <w:b/>
                <w:i w:val="0"/>
                <w:color w:val="243442"/>
                <w:sz w:val="18"/>
              </w:rPr>
              <w:t>Önerilen Yenileme</w:t>
            </w:r>
          </w:p>
          <w:p>
            <w:pPr>
              <w:jc w:val="center"/>
            </w:pPr>
            <w:r>
              <w:rPr>
                <w:b w:val="0"/>
                <w:i w:val="0"/>
                <w:color w:val="637381"/>
                <w:sz w:val="15"/>
              </w:rPr>
              <w:t>model güncelleme</w:t>
            </w:r>
          </w:p>
        </w:tc>
      </w:tr>
    </w:tbl>
    <w:p>
      <w:pPr>
        <w:pStyle w:val="Heading2"/>
      </w:pPr>
      <w:r>
        <w:t>Segment bazında yüksek churn riski</w:t>
      </w:r>
    </w:p>
    <w:p>
      <w:r>
        <w:drawing>
          <wp:inline xmlns:a="http://schemas.openxmlformats.org/drawingml/2006/main" xmlns:pic="http://schemas.openxmlformats.org/drawingml/2006/picture">
            <wp:extent cx="6126480" cy="3065268"/>
            <wp:docPr id="5" name="Picture 5" descr="Dört misafir segmenti için tahmini yüksek churn riski yatay sütun grafiği"/>
            <wp:cNvGraphicFramePr>
              <a:graphicFrameLocks noChangeAspect="1"/>
            </wp:cNvGraphicFramePr>
            <a:graphic>
              <a:graphicData uri="http://schemas.openxmlformats.org/drawingml/2006/picture">
                <pic:pic>
                  <pic:nvPicPr>
                    <pic:cNvPr id="0" name="05_churn_segments.png"/>
                    <pic:cNvPicPr/>
                  </pic:nvPicPr>
                  <pic:blipFill>
                    <a:blip r:embed="rId15"/>
                    <a:stretch>
                      <a:fillRect/>
                    </a:stretch>
                  </pic:blipFill>
                  <pic:spPr>
                    <a:xfrm>
                      <a:off x="0" y="0"/>
                      <a:ext cx="6126480" cy="3065268"/>
                    </a:xfrm>
                    <a:prstGeom prst="rect"/>
                  </pic:spPr>
                </pic:pic>
              </a:graphicData>
            </a:graphic>
          </wp:inline>
        </w:drawing>
      </w:r>
    </w:p>
    <w:p>
      <w:pPr>
        <w:spacing w:before="60" w:after="160"/>
        <w:jc w:val="center"/>
      </w:pPr>
      <w:r>
        <w:rPr>
          <w:b w:val="0"/>
          <w:i/>
          <w:color w:val="637381"/>
          <w:sz w:val="16"/>
        </w:rPr>
        <w:t>Şekil 5. Segment bazlı risk oranı, aynı müdahalenin tüm misafirlere uygulanması yerine önceliklendirme sağlar.</w:t>
      </w:r>
    </w:p>
    <w:tbl>
      <w:tblPr>
        <w:tblW w:type="auto" w:w="0"/>
        <w:jc w:val="center"/>
        <w:tblLook w:firstColumn="1" w:firstRow="1" w:lastColumn="0" w:lastRow="0" w:noHBand="0" w:noVBand="1" w:val="04A0"/>
      </w:tblPr>
      <w:tblGrid>
        <w:gridCol w:w="10166"/>
      </w:tblGrid>
      <w:tr>
        <w:tc>
          <w:tcPr>
            <w:tcW w:type="dxa" w:w="10166"/>
            <w:shd w:fill="FBF5E8"/>
            <w:tcMar>
              <w:top w:w="130" w:type="dxa"/>
              <w:start w:w="160" w:type="dxa"/>
              <w:bottom w:w="130" w:type="dxa"/>
              <w:end w:w="160" w:type="dxa"/>
            </w:tcMar>
            <w:tcBorders>
              <w:left w:val="single" w:sz="18" w:color="1F7A8C"/>
            </w:tcBorders>
          </w:tcPr>
          <w:p>
            <w:r>
              <w:rPr>
                <w:b/>
                <w:i w:val="0"/>
                <w:color w:val="17324D"/>
                <w:sz w:val="21"/>
              </w:rPr>
              <w:t>Önceliklendirme prensibi</w:t>
            </w:r>
          </w:p>
          <w:p>
            <w:pPr>
              <w:spacing w:after="0"/>
            </w:pPr>
            <w:r>
              <w:rPr>
                <w:b w:val="0"/>
                <w:i w:val="0"/>
                <w:color w:val="243442"/>
                <w:sz w:val="18"/>
              </w:rPr>
              <w:t>Yüksek risk oranı tek başına CRM bütçesinin nereye ayrılacağını belirlememelidir. Müşteri değeri, yeniden kazanım olasılığı ve uygun iletişim kanalı birlikte değerlendirilerek yüksek değerli risk grupları önce ele alınabilir.</w:t>
            </w:r>
          </w:p>
        </w:tc>
      </w:tr>
    </w:tbl>
    <w:p>
      <w:pPr>
        <w:pStyle w:val="Heading2"/>
      </w:pPr>
      <w:r>
        <w:t>Örnek churn belirleyicileri</w:t>
      </w:r>
    </w:p>
    <w:p>
      <w:r>
        <w:drawing>
          <wp:inline xmlns:a="http://schemas.openxmlformats.org/drawingml/2006/main" xmlns:pic="http://schemas.openxmlformats.org/drawingml/2006/picture">
            <wp:extent cx="6263640" cy="3670133"/>
            <wp:docPr id="6" name="Picture 6" descr="Churn modelinde sekiz örnek belirleyicinin göreli önemini gösteren yatay sütun grafiği"/>
            <wp:cNvGraphicFramePr>
              <a:graphicFrameLocks noChangeAspect="1"/>
            </wp:cNvGraphicFramePr>
            <a:graphic>
              <a:graphicData uri="http://schemas.openxmlformats.org/drawingml/2006/picture">
                <pic:pic>
                  <pic:nvPicPr>
                    <pic:cNvPr id="0" name="06_churn_predictors.png"/>
                    <pic:cNvPicPr/>
                  </pic:nvPicPr>
                  <pic:blipFill>
                    <a:blip r:embed="rId16"/>
                    <a:stretch>
                      <a:fillRect/>
                    </a:stretch>
                  </pic:blipFill>
                  <pic:spPr>
                    <a:xfrm>
                      <a:off x="0" y="0"/>
                      <a:ext cx="6263640" cy="3670133"/>
                    </a:xfrm>
                    <a:prstGeom prst="rect"/>
                  </pic:spPr>
                </pic:pic>
              </a:graphicData>
            </a:graphic>
          </wp:inline>
        </w:drawing>
      </w:r>
    </w:p>
    <w:p>
      <w:pPr>
        <w:spacing w:before="60" w:after="160"/>
        <w:jc w:val="center"/>
      </w:pPr>
      <w:r>
        <w:rPr>
          <w:b w:val="0"/>
          <w:i/>
          <w:color w:val="637381"/>
          <w:sz w:val="16"/>
        </w:rPr>
        <w:t>Şekil 6. Göreli önem değerleri örnek amaçlıdır; gerçek projede model doğrulaması ve açıklanabilirlik analizi sonrasında raporlanır.</w:t>
      </w:r>
    </w:p>
    <w:tbl>
      <w:tblPr>
        <w:tblW w:type="auto" w:w="0"/>
        <w:jc w:val="center"/>
        <w:tblLook w:firstColumn="1" w:firstRow="1" w:lastColumn="0" w:lastRow="0" w:noHBand="0" w:noVBand="1" w:val="04A0"/>
      </w:tblPr>
      <w:tblGrid>
        <w:gridCol w:w="10166"/>
      </w:tblGrid>
      <w:tr>
        <w:tc>
          <w:tcPr>
            <w:tcW w:type="dxa" w:w="10166"/>
            <w:shd w:fill="F4F7F9"/>
            <w:tcMar>
              <w:top w:w="130" w:type="dxa"/>
              <w:start w:w="160" w:type="dxa"/>
              <w:bottom w:w="130" w:type="dxa"/>
              <w:end w:w="160" w:type="dxa"/>
            </w:tcMar>
            <w:tcBorders>
              <w:left w:val="single" w:sz="18" w:color="1F7A8C"/>
            </w:tcBorders>
          </w:tcPr>
          <w:p>
            <w:r>
              <w:rPr>
                <w:b/>
                <w:i w:val="0"/>
                <w:color w:val="17324D"/>
                <w:sz w:val="21"/>
              </w:rPr>
              <w:t>Profil kırılımı nasıl kullanılabilir?</w:t>
            </w:r>
          </w:p>
          <w:p>
            <w:pPr>
              <w:spacing w:after="0"/>
            </w:pPr>
            <w:r>
              <w:rPr>
                <w:b w:val="0"/>
                <w:i w:val="0"/>
                <w:color w:val="243442"/>
                <w:sz w:val="18"/>
              </w:rPr>
              <w:t>Churn oranı; pazar, rezervasyon kanalı, sadakat statüsü ve müşteri segmenti gibi kırılımlarda ayrıca incelenebilir. Yaş gibi demografik değişkenler tek başına yönetim sonucu olarak yorumlanmamalı; davranışsal ve kanal değişkenleriyle birlikte değerlendirilmelidir.</w:t>
            </w:r>
          </w:p>
        </w:tc>
      </w:tr>
    </w:tbl>
    <w:p>
      <w:pPr>
        <w:pStyle w:val="Heading1"/>
        <w:keepNext/>
        <w:pBdr>
          <w:bottom w:val="single" w:sz="16" w:space="3" w:color="D7A84B"/>
        </w:pBdr>
      </w:pPr>
      <w:r>
        <w:rPr>
          <w:b/>
          <w:color w:val="17324D"/>
        </w:rPr>
        <w:t>07. Yönetim Aksiyon Planı</w:t>
      </w:r>
    </w:p>
    <w:p>
      <w:pPr>
        <w:spacing w:after="160"/>
      </w:pPr>
      <w:r>
        <w:rPr>
          <w:b w:val="0"/>
          <w:i/>
          <w:color w:val="637381"/>
          <w:sz w:val="19"/>
        </w:rPr>
        <w:t>Analitik çıktıyı ölçülebilir karar ve takip göstergelerine bağlamak</w:t>
      </w:r>
    </w:p>
    <w:tbl>
      <w:tblPr>
        <w:tblW w:type="auto" w:w="0"/>
        <w:jc w:val="center"/>
        <w:tblLayout w:type="fixed"/>
        <w:tblLook w:firstColumn="1" w:firstRow="1" w:lastColumn="0" w:lastRow="0" w:noHBand="0" w:noVBand="1" w:val="04A0"/>
      </w:tblPr>
      <w:tblGrid>
        <w:gridCol w:w="2541"/>
        <w:gridCol w:w="2541"/>
        <w:gridCol w:w="2541"/>
        <w:gridCol w:w="2541"/>
      </w:tblGrid>
      <w:tr>
        <w:trPr>
          <w:tblHeader w:val="true"/>
        </w:trPr>
        <w:tc>
          <w:tcPr>
            <w:tcW w:type="dxa" w:w="1584"/>
            <w:shd w:fill="17324D"/>
            <w:tcMar>
              <w:top w:w="80" w:type="dxa"/>
              <w:start w:w="80" w:type="dxa"/>
              <w:bottom w:w="80" w:type="dxa"/>
              <w:end w:w="80" w:type="dxa"/>
            </w:tcMar>
            <w:vAlign w:val="center"/>
          </w:tcPr>
          <w:p>
            <w:pPr>
              <w:jc w:val="center"/>
            </w:pPr>
            <w:r>
              <w:rPr>
                <w:b/>
                <w:i w:val="0"/>
                <w:color w:val="FFFFFF"/>
                <w:sz w:val="17"/>
              </w:rPr>
              <w:t>Alan</w:t>
            </w:r>
          </w:p>
        </w:tc>
        <w:tc>
          <w:tcPr>
            <w:tcW w:type="dxa" w:w="2880"/>
            <w:shd w:fill="17324D"/>
            <w:tcMar>
              <w:top w:w="80" w:type="dxa"/>
              <w:start w:w="80" w:type="dxa"/>
              <w:bottom w:w="80" w:type="dxa"/>
              <w:end w:w="80" w:type="dxa"/>
            </w:tcMar>
            <w:vAlign w:val="center"/>
          </w:tcPr>
          <w:p>
            <w:pPr>
              <w:jc w:val="center"/>
            </w:pPr>
            <w:r>
              <w:rPr>
                <w:b/>
                <w:i w:val="0"/>
                <w:color w:val="FFFFFF"/>
                <w:sz w:val="17"/>
              </w:rPr>
              <w:t>Analitik sinyal</w:t>
            </w:r>
          </w:p>
        </w:tc>
        <w:tc>
          <w:tcPr>
            <w:tcW w:type="dxa" w:w="3816"/>
            <w:shd w:fill="17324D"/>
            <w:tcMar>
              <w:top w:w="80" w:type="dxa"/>
              <w:start w:w="80" w:type="dxa"/>
              <w:bottom w:w="80" w:type="dxa"/>
              <w:end w:w="80" w:type="dxa"/>
            </w:tcMar>
            <w:vAlign w:val="center"/>
          </w:tcPr>
          <w:p>
            <w:pPr>
              <w:jc w:val="center"/>
            </w:pPr>
            <w:r>
              <w:rPr>
                <w:b/>
                <w:i w:val="0"/>
                <w:color w:val="FFFFFF"/>
                <w:sz w:val="17"/>
              </w:rPr>
              <w:t>Önerilen aksiyon</w:t>
            </w:r>
          </w:p>
        </w:tc>
        <w:tc>
          <w:tcPr>
            <w:tcW w:type="dxa" w:w="1944"/>
            <w:shd w:fill="17324D"/>
            <w:tcMar>
              <w:top w:w="80" w:type="dxa"/>
              <w:start w:w="80" w:type="dxa"/>
              <w:bottom w:w="80" w:type="dxa"/>
              <w:end w:w="80" w:type="dxa"/>
            </w:tcMar>
            <w:vAlign w:val="center"/>
          </w:tcPr>
          <w:p>
            <w:pPr>
              <w:jc w:val="center"/>
            </w:pPr>
            <w:r>
              <w:rPr>
                <w:b/>
                <w:i w:val="0"/>
                <w:color w:val="FFFFFF"/>
                <w:sz w:val="17"/>
              </w:rPr>
              <w:t>Takip KPI</w:t>
            </w:r>
          </w:p>
        </w:tc>
      </w:tr>
      <w:tr>
        <w:tc>
          <w:tcPr>
            <w:tcW w:type="dxa" w:w="1584"/>
            <w:shd w:fill="FFFFFF"/>
            <w:tcMar>
              <w:top w:w="70" w:type="dxa"/>
              <w:start w:w="75" w:type="dxa"/>
              <w:bottom w:w="70" w:type="dxa"/>
              <w:end w:w="75" w:type="dxa"/>
            </w:tcMar>
            <w:vAlign w:val="center"/>
            <w:tcBorders>
              <w:bottom w:val="single" w:sz="4" w:color="E6EBEF"/>
            </w:tcBorders>
          </w:tcPr>
          <w:p>
            <w:pPr>
              <w:jc w:val="left"/>
            </w:pPr>
            <w:r>
              <w:rPr>
                <w:b w:val="0"/>
                <w:i w:val="0"/>
                <w:color w:val="243442"/>
                <w:sz w:val="15"/>
              </w:rPr>
              <w:t>Gelir Yönetimi</w:t>
            </w:r>
          </w:p>
        </w:tc>
        <w:tc>
          <w:tcPr>
            <w:tcW w:type="dxa" w:w="2880"/>
            <w:shd w:fill="FFFFFF"/>
            <w:tcMar>
              <w:top w:w="70" w:type="dxa"/>
              <w:start w:w="75" w:type="dxa"/>
              <w:bottom w:w="70" w:type="dxa"/>
              <w:end w:w="75" w:type="dxa"/>
            </w:tcMar>
            <w:vAlign w:val="center"/>
            <w:tcBorders>
              <w:bottom w:val="single" w:sz="4" w:color="E6EBEF"/>
            </w:tcBorders>
          </w:tcPr>
          <w:p>
            <w:pPr>
              <w:jc w:val="center"/>
            </w:pPr>
            <w:r>
              <w:rPr>
                <w:b w:val="0"/>
                <w:i w:val="0"/>
                <w:color w:val="243442"/>
                <w:sz w:val="15"/>
              </w:rPr>
              <w:t>6. hafta öncesi hızlı booking pickup</w:t>
            </w:r>
          </w:p>
        </w:tc>
        <w:tc>
          <w:tcPr>
            <w:tcW w:type="dxa" w:w="3816"/>
            <w:shd w:fill="FFFFFF"/>
            <w:tcMar>
              <w:top w:w="70" w:type="dxa"/>
              <w:start w:w="75" w:type="dxa"/>
              <w:bottom w:w="70" w:type="dxa"/>
              <w:end w:w="75" w:type="dxa"/>
            </w:tcMar>
            <w:vAlign w:val="center"/>
            <w:tcBorders>
              <w:bottom w:val="single" w:sz="4" w:color="E6EBEF"/>
            </w:tcBorders>
          </w:tcPr>
          <w:p>
            <w:pPr>
              <w:jc w:val="center"/>
            </w:pPr>
            <w:r>
              <w:rPr>
                <w:b w:val="0"/>
                <w:i w:val="0"/>
                <w:color w:val="243442"/>
                <w:sz w:val="15"/>
              </w:rPr>
              <w:t>İndirim envanterini azalt; oda tipi bazında fiyat korumasını artır</w:t>
            </w:r>
          </w:p>
        </w:tc>
        <w:tc>
          <w:tcPr>
            <w:tcW w:type="dxa" w:w="1944"/>
            <w:shd w:fill="FFFFFF"/>
            <w:tcMar>
              <w:top w:w="70" w:type="dxa"/>
              <w:start w:w="75" w:type="dxa"/>
              <w:bottom w:w="70" w:type="dxa"/>
              <w:end w:w="75" w:type="dxa"/>
            </w:tcMar>
            <w:vAlign w:val="center"/>
            <w:tcBorders>
              <w:bottom w:val="single" w:sz="4" w:color="E6EBEF"/>
            </w:tcBorders>
          </w:tcPr>
          <w:p>
            <w:pPr>
              <w:jc w:val="left"/>
            </w:pPr>
            <w:r>
              <w:rPr>
                <w:b w:val="0"/>
                <w:i w:val="0"/>
                <w:color w:val="243442"/>
                <w:sz w:val="15"/>
              </w:rPr>
              <w:t>Net ADR, RevPAR, pickup</w:t>
            </w:r>
          </w:p>
        </w:tc>
      </w:tr>
      <w:tr>
        <w:tc>
          <w:tcPr>
            <w:tcW w:type="dxa" w:w="1584"/>
            <w:shd w:fill="F6F8FA"/>
            <w:tcMar>
              <w:top w:w="70" w:type="dxa"/>
              <w:start w:w="75" w:type="dxa"/>
              <w:bottom w:w="70" w:type="dxa"/>
              <w:end w:w="75" w:type="dxa"/>
            </w:tcMar>
            <w:vAlign w:val="center"/>
            <w:tcBorders>
              <w:bottom w:val="single" w:sz="4" w:color="E6EBEF"/>
            </w:tcBorders>
          </w:tcPr>
          <w:p>
            <w:pPr>
              <w:jc w:val="left"/>
            </w:pPr>
            <w:r>
              <w:rPr>
                <w:b w:val="0"/>
                <w:i w:val="0"/>
                <w:color w:val="243442"/>
                <w:sz w:val="15"/>
              </w:rPr>
              <w:t>Dağıtım</w:t>
            </w:r>
          </w:p>
        </w:tc>
        <w:tc>
          <w:tcPr>
            <w:tcW w:type="dxa" w:w="2880"/>
            <w:shd w:fill="F6F8FA"/>
            <w:tcMar>
              <w:top w:w="70" w:type="dxa"/>
              <w:start w:w="75" w:type="dxa"/>
              <w:bottom w:w="70" w:type="dxa"/>
              <w:end w:w="75" w:type="dxa"/>
            </w:tcMar>
            <w:vAlign w:val="center"/>
            <w:tcBorders>
              <w:bottom w:val="single" w:sz="4" w:color="E6EBEF"/>
            </w:tcBorders>
          </w:tcPr>
          <w:p>
            <w:pPr>
              <w:jc w:val="center"/>
            </w:pPr>
            <w:r>
              <w:rPr>
                <w:b w:val="0"/>
                <w:i w:val="0"/>
                <w:color w:val="243442"/>
                <w:sz w:val="15"/>
              </w:rPr>
              <w:t>OTA payı %44 ve iptal %16</w:t>
            </w:r>
          </w:p>
        </w:tc>
        <w:tc>
          <w:tcPr>
            <w:tcW w:type="dxa" w:w="3816"/>
            <w:shd w:fill="F6F8FA"/>
            <w:tcMar>
              <w:top w:w="70" w:type="dxa"/>
              <w:start w:w="75" w:type="dxa"/>
              <w:bottom w:w="70" w:type="dxa"/>
              <w:end w:w="75" w:type="dxa"/>
            </w:tcMar>
            <w:vAlign w:val="center"/>
            <w:tcBorders>
              <w:bottom w:val="single" w:sz="4" w:color="E6EBEF"/>
            </w:tcBorders>
          </w:tcPr>
          <w:p>
            <w:pPr>
              <w:jc w:val="center"/>
            </w:pPr>
            <w:r>
              <w:rPr>
                <w:b w:val="0"/>
                <w:i w:val="0"/>
                <w:color w:val="243442"/>
                <w:sz w:val="15"/>
              </w:rPr>
              <w:t>Direct web dönüşüm ve sadakat teklifi</w:t>
            </w:r>
          </w:p>
        </w:tc>
        <w:tc>
          <w:tcPr>
            <w:tcW w:type="dxa" w:w="1944"/>
            <w:shd w:fill="F6F8FA"/>
            <w:tcMar>
              <w:top w:w="70" w:type="dxa"/>
              <w:start w:w="75" w:type="dxa"/>
              <w:bottom w:w="70" w:type="dxa"/>
              <w:end w:w="75" w:type="dxa"/>
            </w:tcMar>
            <w:vAlign w:val="center"/>
            <w:tcBorders>
              <w:bottom w:val="single" w:sz="4" w:color="E6EBEF"/>
            </w:tcBorders>
          </w:tcPr>
          <w:p>
            <w:pPr>
              <w:jc w:val="left"/>
            </w:pPr>
            <w:r>
              <w:rPr>
                <w:b w:val="0"/>
                <w:i w:val="0"/>
                <w:color w:val="243442"/>
                <w:sz w:val="15"/>
              </w:rPr>
              <w:t>Direct pay, kanal bazlı iptal</w:t>
            </w:r>
          </w:p>
        </w:tc>
      </w:tr>
      <w:tr>
        <w:tc>
          <w:tcPr>
            <w:tcW w:type="dxa" w:w="1584"/>
            <w:shd w:fill="FFFFFF"/>
            <w:tcMar>
              <w:top w:w="70" w:type="dxa"/>
              <w:start w:w="75" w:type="dxa"/>
              <w:bottom w:w="70" w:type="dxa"/>
              <w:end w:w="75" w:type="dxa"/>
            </w:tcMar>
            <w:vAlign w:val="center"/>
            <w:tcBorders>
              <w:bottom w:val="single" w:sz="4" w:color="E6EBEF"/>
            </w:tcBorders>
          </w:tcPr>
          <w:p>
            <w:pPr>
              <w:jc w:val="left"/>
            </w:pPr>
            <w:r>
              <w:rPr>
                <w:b w:val="0"/>
                <w:i w:val="0"/>
                <w:color w:val="243442"/>
                <w:sz w:val="15"/>
              </w:rPr>
              <w:t>Misafir Deneyimi</w:t>
            </w:r>
          </w:p>
        </w:tc>
        <w:tc>
          <w:tcPr>
            <w:tcW w:type="dxa" w:w="2880"/>
            <w:shd w:fill="FFFFFF"/>
            <w:tcMar>
              <w:top w:w="70" w:type="dxa"/>
              <w:start w:w="75" w:type="dxa"/>
              <w:bottom w:w="70" w:type="dxa"/>
              <w:end w:w="75" w:type="dxa"/>
            </w:tcMar>
            <w:vAlign w:val="center"/>
            <w:tcBorders>
              <w:bottom w:val="single" w:sz="4" w:color="E6EBEF"/>
            </w:tcBorders>
          </w:tcPr>
          <w:p>
            <w:pPr>
              <w:jc w:val="center"/>
            </w:pPr>
            <w:r>
              <w:rPr>
                <w:b w:val="0"/>
                <w:i w:val="0"/>
                <w:color w:val="243442"/>
                <w:sz w:val="15"/>
              </w:rPr>
              <w:t>Check-in olumsuzluğu %31</w:t>
            </w:r>
          </w:p>
        </w:tc>
        <w:tc>
          <w:tcPr>
            <w:tcW w:type="dxa" w:w="3816"/>
            <w:shd w:fill="FFFFFF"/>
            <w:tcMar>
              <w:top w:w="70" w:type="dxa"/>
              <w:start w:w="75" w:type="dxa"/>
              <w:bottom w:w="70" w:type="dxa"/>
              <w:end w:w="75" w:type="dxa"/>
            </w:tcMar>
            <w:vAlign w:val="center"/>
            <w:tcBorders>
              <w:bottom w:val="single" w:sz="4" w:color="E6EBEF"/>
            </w:tcBorders>
          </w:tcPr>
          <w:p>
            <w:pPr>
              <w:jc w:val="center"/>
            </w:pPr>
            <w:r>
              <w:rPr>
                <w:b w:val="0"/>
                <w:i w:val="0"/>
                <w:color w:val="243442"/>
                <w:sz w:val="15"/>
              </w:rPr>
              <w:t>Bekleme süresi ve vardiya kapasitesini incele</w:t>
            </w:r>
          </w:p>
        </w:tc>
        <w:tc>
          <w:tcPr>
            <w:tcW w:type="dxa" w:w="1944"/>
            <w:shd w:fill="FFFFFF"/>
            <w:tcMar>
              <w:top w:w="70" w:type="dxa"/>
              <w:start w:w="75" w:type="dxa"/>
              <w:bottom w:w="70" w:type="dxa"/>
              <w:end w:w="75" w:type="dxa"/>
            </w:tcMar>
            <w:vAlign w:val="center"/>
            <w:tcBorders>
              <w:bottom w:val="single" w:sz="4" w:color="E6EBEF"/>
            </w:tcBorders>
          </w:tcPr>
          <w:p>
            <w:pPr>
              <w:jc w:val="left"/>
            </w:pPr>
            <w:r>
              <w:rPr>
                <w:b w:val="0"/>
                <w:i w:val="0"/>
                <w:color w:val="243442"/>
                <w:sz w:val="15"/>
              </w:rPr>
              <w:t>Check-in süresi, topic sentiment</w:t>
            </w:r>
          </w:p>
        </w:tc>
      </w:tr>
      <w:tr>
        <w:tc>
          <w:tcPr>
            <w:tcW w:type="dxa" w:w="1584"/>
            <w:shd w:fill="F6F8FA"/>
            <w:tcMar>
              <w:top w:w="70" w:type="dxa"/>
              <w:start w:w="75" w:type="dxa"/>
              <w:bottom w:w="70" w:type="dxa"/>
              <w:end w:w="75" w:type="dxa"/>
            </w:tcMar>
            <w:vAlign w:val="center"/>
            <w:tcBorders>
              <w:bottom w:val="single" w:sz="4" w:color="E6EBEF"/>
            </w:tcBorders>
          </w:tcPr>
          <w:p>
            <w:pPr>
              <w:jc w:val="left"/>
            </w:pPr>
            <w:r>
              <w:rPr>
                <w:b w:val="0"/>
                <w:i w:val="0"/>
                <w:color w:val="243442"/>
                <w:sz w:val="15"/>
              </w:rPr>
              <w:t>Housekeeping</w:t>
            </w:r>
          </w:p>
        </w:tc>
        <w:tc>
          <w:tcPr>
            <w:tcW w:type="dxa" w:w="2880"/>
            <w:shd w:fill="F6F8FA"/>
            <w:tcMar>
              <w:top w:w="70" w:type="dxa"/>
              <w:start w:w="75" w:type="dxa"/>
              <w:bottom w:w="70" w:type="dxa"/>
              <w:end w:w="75" w:type="dxa"/>
            </w:tcMar>
            <w:vAlign w:val="center"/>
            <w:tcBorders>
              <w:bottom w:val="single" w:sz="4" w:color="E6EBEF"/>
            </w:tcBorders>
          </w:tcPr>
          <w:p>
            <w:pPr>
              <w:jc w:val="center"/>
            </w:pPr>
            <w:r>
              <w:rPr>
                <w:b w:val="0"/>
                <w:i w:val="0"/>
                <w:color w:val="243442"/>
                <w:sz w:val="15"/>
              </w:rPr>
              <w:t>Oda/temizlik olumsuzluğu %22</w:t>
            </w:r>
          </w:p>
        </w:tc>
        <w:tc>
          <w:tcPr>
            <w:tcW w:type="dxa" w:w="3816"/>
            <w:shd w:fill="F6F8FA"/>
            <w:tcMar>
              <w:top w:w="70" w:type="dxa"/>
              <w:start w:w="75" w:type="dxa"/>
              <w:bottom w:w="70" w:type="dxa"/>
              <w:end w:w="75" w:type="dxa"/>
            </w:tcMar>
            <w:vAlign w:val="center"/>
            <w:tcBorders>
              <w:bottom w:val="single" w:sz="4" w:color="E6EBEF"/>
            </w:tcBorders>
          </w:tcPr>
          <w:p>
            <w:pPr>
              <w:jc w:val="center"/>
            </w:pPr>
            <w:r>
              <w:rPr>
                <w:b w:val="0"/>
                <w:i w:val="0"/>
                <w:color w:val="243442"/>
                <w:sz w:val="15"/>
              </w:rPr>
              <w:t>Kalite kontrol ve tekrar eden şikayet kodlarını izle</w:t>
            </w:r>
          </w:p>
        </w:tc>
        <w:tc>
          <w:tcPr>
            <w:tcW w:type="dxa" w:w="1944"/>
            <w:shd w:fill="F6F8FA"/>
            <w:tcMar>
              <w:top w:w="70" w:type="dxa"/>
              <w:start w:w="75" w:type="dxa"/>
              <w:bottom w:w="70" w:type="dxa"/>
              <w:end w:w="75" w:type="dxa"/>
            </w:tcMar>
            <w:vAlign w:val="center"/>
            <w:tcBorders>
              <w:bottom w:val="single" w:sz="4" w:color="E6EBEF"/>
            </w:tcBorders>
          </w:tcPr>
          <w:p>
            <w:pPr>
              <w:jc w:val="left"/>
            </w:pPr>
            <w:r>
              <w:rPr>
                <w:b w:val="0"/>
                <w:i w:val="0"/>
                <w:color w:val="243442"/>
                <w:sz w:val="15"/>
              </w:rPr>
              <w:t>Temizlik şikayet oranı</w:t>
            </w:r>
          </w:p>
        </w:tc>
      </w:tr>
      <w:tr>
        <w:tc>
          <w:tcPr>
            <w:tcW w:type="dxa" w:w="1584"/>
            <w:shd w:fill="FFFFFF"/>
            <w:tcMar>
              <w:top w:w="70" w:type="dxa"/>
              <w:start w:w="75" w:type="dxa"/>
              <w:bottom w:w="70" w:type="dxa"/>
              <w:end w:w="75" w:type="dxa"/>
            </w:tcMar>
            <w:vAlign w:val="center"/>
            <w:tcBorders>
              <w:bottom w:val="single" w:sz="4" w:color="E6EBEF"/>
            </w:tcBorders>
          </w:tcPr>
          <w:p>
            <w:pPr>
              <w:jc w:val="left"/>
            </w:pPr>
            <w:r>
              <w:rPr>
                <w:b w:val="0"/>
                <w:i w:val="0"/>
                <w:color w:val="243442"/>
                <w:sz w:val="15"/>
              </w:rPr>
              <w:t>CRM</w:t>
            </w:r>
          </w:p>
        </w:tc>
        <w:tc>
          <w:tcPr>
            <w:tcW w:type="dxa" w:w="2880"/>
            <w:shd w:fill="FFFFFF"/>
            <w:tcMar>
              <w:top w:w="70" w:type="dxa"/>
              <w:start w:w="75" w:type="dxa"/>
              <w:bottom w:w="70" w:type="dxa"/>
              <w:end w:w="75" w:type="dxa"/>
            </w:tcMar>
            <w:vAlign w:val="center"/>
            <w:tcBorders>
              <w:bottom w:val="single" w:sz="4" w:color="E6EBEF"/>
            </w:tcBorders>
          </w:tcPr>
          <w:p>
            <w:pPr>
              <w:jc w:val="center"/>
            </w:pPr>
            <w:r>
              <w:rPr>
                <w:b w:val="0"/>
                <w:i w:val="0"/>
                <w:color w:val="243442"/>
                <w:sz w:val="15"/>
              </w:rPr>
              <w:t>Yüksek churn riski %8</w:t>
            </w:r>
          </w:p>
        </w:tc>
        <w:tc>
          <w:tcPr>
            <w:tcW w:type="dxa" w:w="3816"/>
            <w:shd w:fill="FFFFFF"/>
            <w:tcMar>
              <w:top w:w="70" w:type="dxa"/>
              <w:start w:w="75" w:type="dxa"/>
              <w:bottom w:w="70" w:type="dxa"/>
              <w:end w:w="75" w:type="dxa"/>
            </w:tcMar>
            <w:vAlign w:val="center"/>
            <w:tcBorders>
              <w:bottom w:val="single" w:sz="4" w:color="E6EBEF"/>
            </w:tcBorders>
          </w:tcPr>
          <w:p>
            <w:pPr>
              <w:jc w:val="center"/>
            </w:pPr>
            <w:r>
              <w:rPr>
                <w:b w:val="0"/>
                <w:i w:val="0"/>
                <w:color w:val="243442"/>
                <w:sz w:val="15"/>
              </w:rPr>
              <w:t>Yüksek değerli risk grubuna kişiselleştirilmiş geri kazanım</w:t>
            </w:r>
          </w:p>
        </w:tc>
        <w:tc>
          <w:tcPr>
            <w:tcW w:type="dxa" w:w="1944"/>
            <w:shd w:fill="FFFFFF"/>
            <w:tcMar>
              <w:top w:w="70" w:type="dxa"/>
              <w:start w:w="75" w:type="dxa"/>
              <w:bottom w:w="70" w:type="dxa"/>
              <w:end w:w="75" w:type="dxa"/>
            </w:tcMar>
            <w:vAlign w:val="center"/>
            <w:tcBorders>
              <w:bottom w:val="single" w:sz="4" w:color="E6EBEF"/>
            </w:tcBorders>
          </w:tcPr>
          <w:p>
            <w:pPr>
              <w:jc w:val="left"/>
            </w:pPr>
            <w:r>
              <w:rPr>
                <w:b w:val="0"/>
                <w:i w:val="0"/>
                <w:color w:val="243442"/>
                <w:sz w:val="15"/>
              </w:rPr>
              <w:t>Reactivation, tekrar rezervasyon</w:t>
            </w:r>
          </w:p>
        </w:tc>
      </w:tr>
    </w:tbl>
    <w:p/>
    <w:tbl>
      <w:tblPr>
        <w:tblW w:type="auto" w:w="0"/>
        <w:jc w:val="center"/>
        <w:tblLook w:firstColumn="1" w:firstRow="1" w:lastColumn="0" w:lastRow="0" w:noHBand="0" w:noVBand="1" w:val="04A0"/>
      </w:tblPr>
      <w:tblGrid>
        <w:gridCol w:w="10166"/>
      </w:tblGrid>
      <w:tr>
        <w:tc>
          <w:tcPr>
            <w:tcW w:type="dxa" w:w="10166"/>
            <w:shd w:fill="EAF4F5"/>
            <w:tcMar>
              <w:top w:w="130" w:type="dxa"/>
              <w:start w:w="160" w:type="dxa"/>
              <w:bottom w:w="130" w:type="dxa"/>
              <w:end w:w="160" w:type="dxa"/>
            </w:tcMar>
            <w:tcBorders>
              <w:left w:val="single" w:sz="18" w:color="1F7A8C"/>
            </w:tcBorders>
          </w:tcPr>
          <w:p>
            <w:r>
              <w:rPr>
                <w:b/>
                <w:i w:val="0"/>
                <w:color w:val="17324D"/>
                <w:sz w:val="21"/>
              </w:rPr>
              <w:t>90 günlük örnek uygulama sırası</w:t>
            </w:r>
          </w:p>
          <w:p>
            <w:pPr>
              <w:spacing w:after="0"/>
            </w:pPr>
            <w:r>
              <w:rPr>
                <w:b w:val="0"/>
                <w:i w:val="0"/>
                <w:color w:val="243442"/>
                <w:sz w:val="18"/>
              </w:rPr>
              <w:t>1–30 gün: veri kalite kontrolü ve KPI tanımları.  |  31–60 gün: segment, topic-sentiment ve churn modellerinin kalibrasyonu.  |  61–90 gün: seçilen aksiyonların A/B veya kontrollü pilot uygulamalarla izlenmesi ve yönetim dashboard’una bağlanması.</w:t>
            </w:r>
          </w:p>
        </w:tc>
      </w:tr>
    </w:tbl>
    <w:p>
      <w:pPr>
        <w:pStyle w:val="Heading2"/>
      </w:pPr>
      <w:r>
        <w:t>Model ve rapor bakım ritmi</w:t>
      </w:r>
    </w:p>
    <w:p>
      <w:pPr>
        <w:pStyle w:val="ListBullet"/>
        <w:spacing w:after="80"/>
      </w:pPr>
      <w:r>
        <w:rPr>
          <w:b w:val="0"/>
          <w:i w:val="0"/>
          <w:color w:val="243442"/>
          <w:sz w:val="19"/>
        </w:rPr>
        <w:t>Talep / doluluk tahmini: günlük veya haftalık veri yenileme, sezon yoğunluğuna göre daha sık izleme.</w:t>
      </w:r>
    </w:p>
    <w:p>
      <w:pPr>
        <w:pStyle w:val="ListBullet"/>
        <w:spacing w:after="80"/>
      </w:pPr>
      <w:r>
        <w:rPr>
          <w:b w:val="0"/>
          <w:i w:val="0"/>
          <w:color w:val="243442"/>
          <w:sz w:val="19"/>
        </w:rPr>
        <w:t>Topic + sentiment: yorum hacmine göre haftalık veya aylık güncelleme.</w:t>
      </w:r>
    </w:p>
    <w:p>
      <w:pPr>
        <w:pStyle w:val="ListBullet"/>
        <w:spacing w:after="80"/>
      </w:pPr>
      <w:r>
        <w:rPr>
          <w:b w:val="0"/>
          <w:i w:val="0"/>
          <w:color w:val="243442"/>
          <w:sz w:val="19"/>
        </w:rPr>
        <w:t>RFM segmentasyonu: aylık veya çeyreklik yeniden hesaplama.</w:t>
      </w:r>
    </w:p>
    <w:p>
      <w:pPr>
        <w:pStyle w:val="ListBullet"/>
        <w:spacing w:after="80"/>
      </w:pPr>
      <w:r>
        <w:rPr>
          <w:b w:val="0"/>
          <w:i w:val="0"/>
          <w:color w:val="243442"/>
          <w:sz w:val="19"/>
        </w:rPr>
        <w:t>Churn modeli: performans takibi ile birlikte yaklaşık üç ayda bir yeniden değerlendirme.</w:t>
      </w:r>
    </w:p>
    <w:p>
      <w:pPr>
        <w:pStyle w:val="Heading1"/>
        <w:keepNext/>
        <w:pBdr>
          <w:bottom w:val="single" w:sz="16" w:space="3" w:color="D7A84B"/>
        </w:pBdr>
      </w:pPr>
      <w:r>
        <w:rPr>
          <w:b/>
          <w:color w:val="17324D"/>
        </w:rPr>
        <w:t>08. Sonuç</w:t>
      </w:r>
    </w:p>
    <w:p>
      <w:pPr>
        <w:spacing w:after="160"/>
      </w:pPr>
      <w:r>
        <w:rPr>
          <w:b w:val="0"/>
          <w:i/>
          <w:color w:val="637381"/>
          <w:sz w:val="19"/>
        </w:rPr>
        <w:t>Örnek rapordan gerçek uygulamaya</w:t>
      </w:r>
    </w:p>
    <w:p>
      <w:r>
        <w:rPr>
          <w:b w:val="0"/>
          <w:i w:val="0"/>
          <w:color w:val="243442"/>
          <w:sz w:val="20"/>
        </w:rPr>
        <w:t>Bu örnek rapor, işletmenin PMS, CRM, dijital kanal ve çevrim içi yorum verilerini tek bir analitik çerçevede nasıl birleştirebileceğini göstermektedir. Gerçek uygulamada veri paylaşım protokolü, veri sözlüğü ve başarı KPI’ları birlikte tanımlanır; modelleme süreci işletmenin veri yapısına göre özelleştirilir ve bulgular eylem planına dönüştürülür.</w:t>
      </w:r>
    </w:p>
    <w:tbl>
      <w:tblPr>
        <w:tblW w:type="auto" w:w="0"/>
        <w:jc w:val="center"/>
        <w:tblLook w:firstColumn="1" w:firstRow="1" w:lastColumn="0" w:lastRow="0" w:noHBand="0" w:noVBand="1" w:val="04A0"/>
      </w:tblPr>
      <w:tblGrid>
        <w:gridCol w:w="10166"/>
      </w:tblGrid>
      <w:tr>
        <w:tc>
          <w:tcPr>
            <w:tcW w:type="dxa" w:w="10166"/>
            <w:shd w:fill="FBF5E8"/>
            <w:tcMar>
              <w:top w:w="130" w:type="dxa"/>
              <w:start w:w="160" w:type="dxa"/>
              <w:bottom w:w="130" w:type="dxa"/>
              <w:end w:w="160" w:type="dxa"/>
            </w:tcMar>
            <w:tcBorders>
              <w:left w:val="single" w:sz="18" w:color="1F7A8C"/>
            </w:tcBorders>
          </w:tcPr>
          <w:p>
            <w:r>
              <w:rPr>
                <w:b/>
                <w:i w:val="0"/>
                <w:color w:val="17324D"/>
                <w:sz w:val="21"/>
              </w:rPr>
              <w:t>Bu rapordaki sayılar gerçek işletme sonucu değildir</w:t>
            </w:r>
          </w:p>
          <w:p>
            <w:pPr>
              <w:spacing w:after="0"/>
            </w:pPr>
            <w:r>
              <w:rPr>
                <w:b w:val="0"/>
                <w:i w:val="0"/>
                <w:color w:val="243442"/>
                <w:sz w:val="18"/>
              </w:rPr>
              <w:t>Tüm oranlar, segmentler, model çıktıları, yorum örnekleri ve görseller yalnızca örnek çıktı formatını göstermek için sentetik olarak üretilmiştir. Gerçek projede sonuçlar işletmeye özgü veriler kullanılarak hesaplanır.</w:t>
            </w:r>
          </w:p>
        </w:tc>
      </w:tr>
    </w:tbl>
    <w:p>
      <w:pPr>
        <w:spacing w:before="440"/>
        <w:jc w:val="center"/>
      </w:pPr>
      <w:r>
        <w:rPr>
          <w:b/>
          <w:i w:val="0"/>
          <w:color w:val="17324D"/>
          <w:sz w:val="22"/>
        </w:rPr>
        <w:t>TURAM  |  Büyük Veri ve İleri Analitik Hizmetleri</w:t>
      </w:r>
    </w:p>
    <w:p>
      <w:pPr>
        <w:jc w:val="center"/>
      </w:pPr>
      <w:r>
        <w:rPr>
          <w:b w:val="0"/>
          <w:i w:val="0"/>
          <w:color w:val="637381"/>
          <w:sz w:val="18"/>
        </w:rPr>
        <w:t>Örnek rapor taslağı</w:t>
      </w:r>
    </w:p>
    <w:sectPr w:rsidR="00FC693F" w:rsidRPr="0006063C" w:rsidSect="00034616">
      <w:headerReference w:type="default" r:id="rId9"/>
      <w:footerReference w:type="default" r:id="rId10"/>
      <w:pgSz w:w="12240" w:h="15840"/>
      <w:pgMar w:top="893" w:right="1037" w:bottom="893" w:left="1037"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37381"/>
        <w:sz w:val="16"/>
      </w:rPr>
      <w:t>Örnek / sentetik veri ile hazırlanmış rapor taslağı</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i w:val="0"/>
        <w:color w:val="1F7A8C"/>
        <w:sz w:val="17"/>
      </w:rPr>
      <w:t>TURAM  |  Büyük Veri ve İleri Analitik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243442"/>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ptos Display" w:hAnsi="Aptos Display"/>
      <w:b/>
      <w:bCs/>
      <w:color w:val="17324D"/>
      <w:sz w:val="3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ptos Display" w:hAnsi="Aptos Display"/>
      <w:b/>
      <w:bCs/>
      <w:color w:val="1F7A8C"/>
      <w:sz w:val="26"/>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Aptos Display" w:hAnsi="Aptos Display"/>
      <w:b/>
      <w:bCs/>
      <w:color w:val="17324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200"/>
      <w:contextualSpacing/>
    </w:pPr>
    <w:rPr>
      <w:rFonts w:asciiTheme="majorHAnsi" w:eastAsiaTheme="majorEastAsia" w:hAnsiTheme="majorHAnsi" w:cstheme="majorBidi" w:ascii="Aptos Display" w:hAnsi="Aptos Display"/>
      <w:b/>
      <w:color w:val="17324D"/>
      <w:spacing w:val="5"/>
      <w:kern w:val="28"/>
      <w:sz w:val="6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ptos" w:hAnsi="Aptos"/>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TURAM Büyük Veri ve İleri Analitik Hizmetleri - Örnek Otel Analitik Raporu</dc:title>
  <dc:subject>Sentetik veri ile hazırlanmış örnek analitik rapor</dc:subject>
  <dc:creator>TURAM</dc:creator>
  <cp:keywords>otel analitiği, büyük veri, churn, RFM, topic modelling, sentiment, doluluk tahmini</cp:keywords>
  <dc:description>generated by python-docx</dc:description>
  <cp:lastModifiedBy/>
  <cp:revision>1</cp:revision>
  <dcterms:created xsi:type="dcterms:W3CDTF">2013-12-23T23:15:00Z</dcterms:created>
  <dcterms:modified xsi:type="dcterms:W3CDTF">2013-12-23T23:15:00Z</dcterms:modified>
  <cp:category/>
</cp:coreProperties>
</file>