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left"/>
      </w:pPr>
      <w:r>
        <w:rPr>
          <w:b/>
          <w:i w:val="0"/>
          <w:color w:val="1F7A8C"/>
          <w:sz w:val="26"/>
        </w:rPr>
        <w:t xml:space="preserve">TURAM</w:t>
      </w:r>
    </w:p>
    <w:p>
      <w:pPr>
        <w:pStyle w:val="Title"/>
        <w:spacing w:before="40" w:after="140"/>
      </w:pPr>
      <w:r>
        <w:rPr>
          <w:b/>
          <w:i w:val="0"/>
          <w:color w:val="17324D"/>
          <w:sz w:val="62"/>
        </w:rPr>
        <w:t xml:space="preserve">Big Data and Advanced</w:t>
        <w:br/>
        <w:t xml:space="preserve">Analytics Services</w:t>
      </w:r>
    </w:p>
    <w:p>
      <w:pPr>
        <w:spacing w:after="440"/>
      </w:pPr>
      <w:r>
        <w:rPr>
          <w:b/>
          <w:i w:val="0"/>
          <w:color w:val="D7A84B"/>
          <w:sz w:val="32"/>
        </w:rPr>
        <w:t xml:space="preserve">Sample Hotel Analytics Report</w:t>
      </w:r>
    </w:p>
    <w:tbl>
      <w:tblPr>
        <w:tblW w:type="auto" w:w="0"/>
        <w:tblLook w:firstColumn="1" w:firstRow="1" w:lastColumn="0" w:lastRow="0" w:noHBand="0" w:noVBand="1" w:val="04A0"/>
      </w:tblPr>
      <w:tblGrid>
        <w:gridCol w:w="10166"/>
      </w:tblGrid>
      <w:tr>
        <w:tc>
          <w:tcPr>
            <w:tcW w:type="dxa" w:w="10166"/>
            <w:shd w:fill="F4F7F9"/>
            <w:tcMar>
              <w:top w:w="180" w:type="dxa"/>
              <w:start w:w="180" w:type="dxa"/>
              <w:bottom w:w="180" w:type="dxa"/>
              <w:end w:w="180" w:type="dxa"/>
            </w:tcMar>
            <w:tcBorders>
              <w:left w:val="single" w:sz="22" w:color="D7A84B"/>
            </w:tcBorders>
          </w:tcPr>
          <w:p>
            <w:r>
              <w:rPr>
                <w:b w:val="0"/>
                <w:i w:val="0"/>
                <w:color w:val="243442"/>
                <w:sz w:val="22"/>
              </w:rPr>
              <w:t xml:space="preserve">Illustrates demand forecasting, channel performance, RFM-based guest segmentation, topic-based sentiment analysis and churn risk modeling through a fictitious 320-room resort hotel scenario.</w:t>
            </w:r>
          </w:p>
          <w:p>
            <w:r>
              <w:rPr>
                <w:b/>
                <w:i w:val="0"/>
                <w:color w:val="17324D"/>
                <w:sz w:val="18"/>
              </w:rPr>
              <w:t xml:space="preserve">All numerical values, person and business information in this document have been generated synthetically for demonstration purposes.</w:t>
            </w:r>
          </w:p>
        </w:tc>
      </w:tr>
    </w:tbl>
    <w:p>
      <w:pPr>
        <w:spacing w:before="560"/>
      </w:pPr>
      <w:r>
        <w:rPr>
          <w:b/>
          <w:i w:val="0"/>
          <w:color w:val="17324D"/>
          <w:sz w:val="22"/>
        </w:rPr>
        <w:t xml:space="preserve">Purpose of the report</w:t>
      </w:r>
    </w:p>
    <w:p>
      <w:r>
        <w:rPr>
          <w:b w:val="0"/>
          <w:i w:val="0"/>
          <w:color w:val="243442"/>
          <w:sz w:val="21"/>
        </w:rPr>
        <w:t xml:space="preserve">To show how business data can be turned not merely into description, but into analytical outputs that support operational decisions.</w:t>
      </w:r>
    </w:p>
    <w:p>
      <w:pPr>
        <w:spacing w:before="1700"/>
        <w:jc w:val="left"/>
      </w:pPr>
      <w:r>
        <w:rPr>
          <w:b/>
          <w:i w:val="0"/>
          <w:color w:val="637381"/>
          <w:sz w:val="17"/>
        </w:rPr>
        <w:t xml:space="preserve">SAMPLE REPORT  |  2026</w:t>
      </w:r>
    </w:p>
    <w:p>
      <w:r>
        <w:br w:type="page"/>
      </w:r>
    </w:p>
    <w:p>
      <w:pPr>
        <w:pStyle w:val="Heading1"/>
        <w:keepNext/>
        <w:pBdr>
          <w:bottom w:val="single" w:sz="16" w:space="3" w:color="D7A84B"/>
        </w:pBdr>
      </w:pPr>
      <w:r>
        <w:rPr>
          <w:b/>
          <w:color w:val="17324D"/>
        </w:rPr>
        <w:t xml:space="preserve">01. Executive Summary</w:t>
      </w:r>
    </w:p>
    <w:p>
      <w:pPr>
        <w:spacing w:after="160"/>
      </w:pPr>
      <w:r>
        <w:rPr>
          <w:b w:val="0"/>
          <w:i/>
          <w:color w:val="637381"/>
          <w:sz w:val="19"/>
        </w:rPr>
        <w:t xml:space="preserve">Sample analytical findings and priority management actions at a glance</w:t>
      </w:r>
    </w:p>
    <w:p>
      <w:r>
        <w:rPr>
          <w:b w:val="0"/>
          <w:i w:val="0"/>
          <w:color w:val="243442"/>
          <w:sz w:val="20"/>
        </w:rPr>
        <w:t xml:space="preserve">This sample study shows that PMS, CRM, reservation channel and online review data can be addressed within the same decision framework. The outputs are organized to link forecasting, segmentation, text analytics and churn modeling with management actions.</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77%</w:t>
            </w:r>
          </w:p>
          <w:p>
            <w:pPr>
              <w:jc w:val="center"/>
            </w:pPr>
            <w:r>
              <w:rPr>
                <w:b/>
                <w:i w:val="0"/>
                <w:color w:val="243442"/>
                <w:sz w:val="18"/>
              </w:rPr>
              <w:t xml:space="preserve">Week 8 Forecast Occupancy</w:t>
            </w:r>
          </w:p>
          <w:p>
            <w:pPr>
              <w:jc w:val="center"/>
            </w:pPr>
            <w:r>
              <w:rPr>
                <w:b w:val="0"/>
                <w:i w:val="0"/>
                <w:color w:val="637381"/>
                <w:sz w:val="15"/>
              </w:rPr>
              <w:t xml:space="preserve">Peak of 91% in week 6</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38%</w:t>
            </w:r>
          </w:p>
          <w:p>
            <w:pPr>
              <w:jc w:val="center"/>
            </w:pPr>
            <w:r>
              <w:rPr>
                <w:b/>
                <w:i w:val="0"/>
                <w:color w:val="243442"/>
                <w:sz w:val="18"/>
              </w:rPr>
              <w:t xml:space="preserve">Direct Web Share</w:t>
            </w:r>
          </w:p>
          <w:p>
            <w:pPr>
              <w:jc w:val="center"/>
            </w:pPr>
            <w:r>
              <w:rPr>
                <w:b w:val="0"/>
                <w:i w:val="0"/>
                <w:color w:val="637381"/>
                <w:sz w:val="15"/>
              </w:rPr>
              <w:t xml:space="preserve">OTA share 44%</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8%</w:t>
            </w:r>
          </w:p>
          <w:p>
            <w:pPr>
              <w:jc w:val="center"/>
            </w:pPr>
            <w:r>
              <w:rPr>
                <w:b/>
                <w:i w:val="0"/>
                <w:color w:val="243442"/>
                <w:sz w:val="18"/>
              </w:rPr>
              <w:t xml:space="preserve">High Churn Risk</w:t>
            </w:r>
          </w:p>
          <w:p>
            <w:pPr>
              <w:jc w:val="center"/>
            </w:pPr>
            <w:r>
              <w:rPr>
                <w:b w:val="0"/>
                <w:i w:val="0"/>
                <w:color w:val="637381"/>
                <w:sz w:val="15"/>
              </w:rPr>
              <w:t xml:space="preserve">Within the loyalty base</w:t>
            </w:r>
          </w:p>
        </w:tc>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Check-in</w:t>
            </w:r>
          </w:p>
          <w:p>
            <w:pPr>
              <w:jc w:val="center"/>
            </w:pPr>
            <w:r>
              <w:rPr>
                <w:b/>
                <w:i w:val="0"/>
                <w:color w:val="243442"/>
                <w:sz w:val="18"/>
              </w:rPr>
              <w:t xml:space="preserve">Most Critical Experience Topic</w:t>
            </w:r>
          </w:p>
          <w:p>
            <w:pPr>
              <w:jc w:val="center"/>
            </w:pPr>
            <w:r>
              <w:rPr>
                <w:b w:val="0"/>
                <w:i w:val="0"/>
                <w:color w:val="637381"/>
                <w:sz w:val="15"/>
              </w:rPr>
              <w:t xml:space="preserve">31% negative sentiment</w:t>
            </w:r>
          </w:p>
        </w:tc>
      </w:tr>
    </w:tbl>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 xml:space="preserve">Key management insight</w:t>
            </w:r>
          </w:p>
          <w:p>
            <w:pPr>
              <w:spacing w:after="0"/>
            </w:pPr>
            <w:r>
              <w:rPr>
                <w:b w:val="0"/>
                <w:i w:val="0"/>
                <w:color w:val="243442"/>
                <w:sz w:val="18"/>
              </w:rPr>
              <w:t xml:space="preserve">Although overall satisfaction appears high, topic-based analysis shows that negativity is concentrated particularly in check-in/reception and room-cleanliness experiences. The high cancellation rate on the OTA channel and the behavioral slowdown among high-value guests during the same period call for revenue and CRM actions to be addressed together.</w:t>
            </w:r>
          </w:p>
        </w:tc>
      </w:tr>
    </w:tbl>
    <w:p>
      <w:pPr>
        <w:pStyle w:val="Heading2"/>
      </w:pPr>
      <w:r>
        <w:t xml:space="preserve">Recommended priorities</w:t>
      </w:r>
    </w:p>
    <w:p>
      <w:pPr>
        <w:pStyle w:val="ListBullet"/>
        <w:spacing w:after="80"/>
      </w:pPr>
      <w:r>
        <w:rPr>
          <w:b w:val="0"/>
          <w:i w:val="0"/>
          <w:color w:val="243442"/>
          <w:sz w:val="19"/>
        </w:rPr>
        <w:t xml:space="preserve">Gradually narrow discount inventory and strengthen rate protection in weeks with high booking pickup.</w:t>
      </w:r>
    </w:p>
    <w:p>
      <w:pPr>
        <w:pStyle w:val="ListBullet"/>
        <w:spacing w:after="80"/>
      </w:pPr>
      <w:r>
        <w:rPr>
          <w:b w:val="0"/>
          <w:i w:val="0"/>
          <w:color w:val="243442"/>
          <w:sz w:val="19"/>
        </w:rPr>
        <w:t xml:space="preserve">Run conversion campaigns on the direct web channel targeting loyalty members and repeat guests.</w:t>
      </w:r>
    </w:p>
    <w:p>
      <w:pPr>
        <w:pStyle w:val="ListBullet"/>
        <w:spacing w:after="80"/>
      </w:pPr>
      <w:r>
        <w:rPr>
          <w:b w:val="0"/>
          <w:i w:val="0"/>
          <w:color w:val="243442"/>
          <w:sz w:val="19"/>
        </w:rPr>
        <w:t xml:space="preserve">Launch an operational root-cause review of check-in time and room-cleanliness touchpoints.</w:t>
      </w:r>
    </w:p>
    <w:p>
      <w:pPr>
        <w:pStyle w:val="ListBullet"/>
        <w:spacing w:after="80"/>
      </w:pPr>
      <w:r>
        <w:rPr>
          <w:b w:val="0"/>
          <w:i w:val="0"/>
          <w:color w:val="243442"/>
          <w:sz w:val="19"/>
        </w:rPr>
        <w:t xml:space="preserve">Apply personalized win-back actions for high-value guests whose visit frequency is declining.</w:t>
      </w:r>
    </w:p>
    <w:p>
      <w:pPr>
        <w:pStyle w:val="Heading1"/>
        <w:keepNext/>
        <w:pBdr>
          <w:bottom w:val="single" w:sz="16" w:space="3" w:color="D7A84B"/>
        </w:pBdr>
      </w:pPr>
      <w:r>
        <w:rPr>
          <w:b/>
          <w:color w:val="17324D"/>
        </w:rPr>
        <w:t xml:space="preserve">02. Data Scope and Analytical Approach</w:t>
      </w:r>
    </w:p>
    <w:p>
      <w:pPr>
        <w:spacing w:after="160"/>
      </w:pPr>
      <w:r>
        <w:rPr>
          <w:b w:val="0"/>
          <w:i/>
          <w:color w:val="637381"/>
          <w:sz w:val="19"/>
        </w:rPr>
        <w:t xml:space="preserve">Data sources, data security and modeling logic</w:t>
      </w:r>
    </w:p>
    <w:p>
      <w:r>
        <w:rPr>
          <w:b w:val="0"/>
          <w:i w:val="0"/>
          <w:color w:val="243442"/>
          <w:sz w:val="19"/>
        </w:rPr>
        <w:t xml:space="preserve">Operational and digital data that may be used in the analysis are processed in an anonymized or pseudonymized format in accordance with the Personal Data Protection Law (KVKK). Personal identity information is masked before analysis; reporting is done at an aggregated level.</w:t>
      </w:r>
    </w:p>
    <w:tbl>
      <w:tblPr>
        <w:tblW w:type="auto" w:w="0"/>
        <w:jc w:val="center"/>
        <w:tblLayout w:type="fixed"/>
        <w:tblLook w:firstColumn="1" w:firstRow="1" w:lastColumn="0" w:lastRow="0" w:noHBand="0" w:noVBand="1" w:val="04A0"/>
      </w:tblPr>
      <w:tblGrid>
        <w:gridCol w:w="3389"/>
        <w:gridCol w:w="3389"/>
        <w:gridCol w:w="3389"/>
      </w:tblGrid>
      <w:tr>
        <w:tc>
          <w:tcPr>
            <w:tcW w:type="dxa" w:w="3168"/>
            <w:shd w:fill="F4F7F9"/>
            <w:tcMar>
              <w:top w:w="130" w:type="dxa"/>
              <w:start w:w="120" w:type="dxa"/>
              <w:bottom w:w="130" w:type="dxa"/>
              <w:end w:w="120" w:type="dxa"/>
            </w:tcMar>
            <w:tcBorders>
              <w:top w:val="single" w:sz="6" w:color="DDE4E8"/>
              <w:left w:val="single" w:sz="6" w:color="DDE4E8"/>
              <w:bottom w:val="single" w:sz="6" w:color="DDE4E8"/>
              <w:right w:val="single" w:sz="6" w:color="DDE4E8"/>
            </w:tcBorders>
          </w:tcPr>
          <w:p>
            <w:pPr>
              <w:jc w:val="center"/>
            </w:pPr>
            <w:r>
              <w:rPr>
                <w:b/>
                <w:i w:val="0"/>
                <w:color w:val="17324D"/>
                <w:sz w:val="18"/>
              </w:rPr>
              <w:t xml:space="preserve">DATA SOURCES</w:t>
            </w:r>
          </w:p>
          <w:p>
            <w:pPr>
              <w:spacing w:after="40"/>
              <w:jc w:val="center"/>
            </w:pPr>
            <w:r>
              <w:rPr>
                <w:b w:val="0"/>
                <w:i w:val="0"/>
                <w:color w:val="243442"/>
                <w:sz w:val="16"/>
              </w:rPr>
              <w:t xml:space="preserve">PMS and reservations</w:t>
            </w:r>
          </w:p>
          <w:p>
            <w:pPr>
              <w:spacing w:after="40"/>
              <w:jc w:val="center"/>
            </w:pPr>
            <w:r>
              <w:rPr>
                <w:b w:val="0"/>
                <w:i w:val="0"/>
                <w:color w:val="243442"/>
                <w:sz w:val="16"/>
              </w:rPr>
              <w:t xml:space="preserve">CRM and loyalty</w:t>
            </w:r>
          </w:p>
          <w:p>
            <w:pPr>
              <w:spacing w:after="40"/>
              <w:jc w:val="center"/>
            </w:pPr>
            <w:r>
              <w:rPr>
                <w:b w:val="0"/>
                <w:i w:val="0"/>
                <w:color w:val="243442"/>
                <w:sz w:val="16"/>
              </w:rPr>
              <w:t xml:space="preserve">Web / OTA channel data</w:t>
            </w:r>
          </w:p>
          <w:p>
            <w:pPr>
              <w:spacing w:after="40"/>
              <w:jc w:val="center"/>
            </w:pPr>
            <w:r>
              <w:rPr>
                <w:b w:val="0"/>
                <w:i w:val="0"/>
                <w:color w:val="243442"/>
                <w:sz w:val="16"/>
              </w:rPr>
              <w:t xml:space="preserve">Online reviews</w:t>
            </w:r>
          </w:p>
        </w:tc>
        <w:tc>
          <w:tcPr>
            <w:tcW w:type="dxa" w:w="3168"/>
            <w:shd w:fill="EAF4F5"/>
            <w:tcMar>
              <w:top w:w="130" w:type="dxa"/>
              <w:start w:w="120" w:type="dxa"/>
              <w:bottom w:w="130" w:type="dxa"/>
              <w:end w:w="120" w:type="dxa"/>
            </w:tcMar>
            <w:tcBorders>
              <w:top w:val="single" w:sz="6" w:color="DDE4E8"/>
              <w:left w:val="single" w:sz="6" w:color="DDE4E8"/>
              <w:bottom w:val="single" w:sz="6" w:color="DDE4E8"/>
              <w:right w:val="single" w:sz="6" w:color="DDE4E8"/>
            </w:tcBorders>
          </w:tcPr>
          <w:p>
            <w:pPr>
              <w:jc w:val="center"/>
            </w:pPr>
            <w:r>
              <w:rPr>
                <w:b/>
                <w:i w:val="0"/>
                <w:color w:val="17324D"/>
                <w:sz w:val="18"/>
              </w:rPr>
              <w:t xml:space="preserve">ANALYTICS</w:t>
            </w:r>
          </w:p>
          <w:p>
            <w:pPr>
              <w:spacing w:after="40"/>
              <w:jc w:val="center"/>
            </w:pPr>
            <w:r>
              <w:rPr>
                <w:b w:val="0"/>
                <w:i w:val="0"/>
                <w:color w:val="243442"/>
                <w:sz w:val="16"/>
              </w:rPr>
              <w:t xml:space="preserve">Demand forecasting</w:t>
            </w:r>
          </w:p>
          <w:p>
            <w:pPr>
              <w:spacing w:after="40"/>
              <w:jc w:val="center"/>
            </w:pPr>
            <w:r>
              <w:rPr>
                <w:b w:val="0"/>
                <w:i w:val="0"/>
                <w:color w:val="243442"/>
                <w:sz w:val="16"/>
              </w:rPr>
              <w:t xml:space="preserve">RFM segmentation</w:t>
            </w:r>
          </w:p>
          <w:p>
            <w:pPr>
              <w:spacing w:after="40"/>
              <w:jc w:val="center"/>
            </w:pPr>
            <w:r>
              <w:rPr>
                <w:b w:val="0"/>
                <w:i w:val="0"/>
                <w:color w:val="243442"/>
                <w:sz w:val="16"/>
              </w:rPr>
              <w:t xml:space="preserve">Topic + sentiment</w:t>
            </w:r>
          </w:p>
          <w:p>
            <w:pPr>
              <w:spacing w:after="40"/>
              <w:jc w:val="center"/>
            </w:pPr>
            <w:r>
              <w:rPr>
                <w:b w:val="0"/>
                <w:i w:val="0"/>
                <w:color w:val="243442"/>
                <w:sz w:val="16"/>
              </w:rPr>
              <w:t xml:space="preserve">Churn modeling</w:t>
            </w:r>
          </w:p>
        </w:tc>
        <w:tc>
          <w:tcPr>
            <w:tcW w:type="dxa" w:w="3168"/>
            <w:shd w:fill="FBF5E8"/>
            <w:tcMar>
              <w:top w:w="130" w:type="dxa"/>
              <w:start w:w="120" w:type="dxa"/>
              <w:bottom w:w="130" w:type="dxa"/>
              <w:end w:w="120" w:type="dxa"/>
            </w:tcMar>
            <w:tcBorders>
              <w:top w:val="single" w:sz="6" w:color="DDE4E8"/>
              <w:left w:val="single" w:sz="6" w:color="DDE4E8"/>
              <w:bottom w:val="single" w:sz="6" w:color="DDE4E8"/>
              <w:right w:val="single" w:sz="6" w:color="DDE4E8"/>
            </w:tcBorders>
          </w:tcPr>
          <w:p>
            <w:pPr>
              <w:jc w:val="center"/>
            </w:pPr>
            <w:r>
              <w:rPr>
                <w:b/>
                <w:i w:val="0"/>
                <w:color w:val="17324D"/>
                <w:sz w:val="18"/>
              </w:rPr>
              <w:t xml:space="preserve">MANAGEMENT ACTION</w:t>
            </w:r>
          </w:p>
          <w:p>
            <w:pPr>
              <w:spacing w:after="40"/>
              <w:jc w:val="center"/>
            </w:pPr>
            <w:r>
              <w:rPr>
                <w:b w:val="0"/>
                <w:i w:val="0"/>
                <w:color w:val="243442"/>
                <w:sz w:val="16"/>
              </w:rPr>
              <w:t xml:space="preserve">Pricing &amp; inventory</w:t>
            </w:r>
          </w:p>
          <w:p>
            <w:pPr>
              <w:spacing w:after="40"/>
              <w:jc w:val="center"/>
            </w:pPr>
            <w:r>
              <w:rPr>
                <w:b w:val="0"/>
                <w:i w:val="0"/>
                <w:color w:val="243442"/>
                <w:sz w:val="16"/>
              </w:rPr>
              <w:t xml:space="preserve">Channel strategy</w:t>
            </w:r>
          </w:p>
          <w:p>
            <w:pPr>
              <w:spacing w:after="40"/>
              <w:jc w:val="center"/>
            </w:pPr>
            <w:r>
              <w:rPr>
                <w:b w:val="0"/>
                <w:i w:val="0"/>
                <w:color w:val="243442"/>
                <w:sz w:val="16"/>
              </w:rPr>
              <w:t xml:space="preserve">Experience improvement</w:t>
            </w:r>
          </w:p>
          <w:p>
            <w:pPr>
              <w:spacing w:after="40"/>
              <w:jc w:val="center"/>
            </w:pPr>
            <w:r>
              <w:rPr>
                <w:b w:val="0"/>
                <w:i w:val="0"/>
                <w:color w:val="243442"/>
                <w:sz w:val="16"/>
              </w:rPr>
              <w:t xml:space="preserve">CRM win-back</w:t>
            </w:r>
          </w:p>
        </w:tc>
      </w:tr>
    </w:tbl>
    <w:p/>
    <w:tbl>
      <w:tblPr>
        <w:tblW w:type="auto" w:w="0"/>
        <w:jc w:val="center"/>
        <w:tblLook w:firstColumn="1" w:firstRow="1" w:lastColumn="0" w:lastRow="0" w:noHBand="0" w:noVBand="1" w:val="04A0"/>
      </w:tblPr>
      <w:tblGrid>
        <w:gridCol w:w="10166"/>
      </w:tblGrid>
      <w:tr>
        <w:tc>
          <w:tcPr>
            <w:tcW w:type="dxa" w:w="10166"/>
            <w:shd w:fill="F4F7F9"/>
            <w:tcMar>
              <w:top w:w="130" w:type="dxa"/>
              <w:start w:w="160" w:type="dxa"/>
              <w:bottom w:w="130" w:type="dxa"/>
              <w:end w:w="160" w:type="dxa"/>
            </w:tcMar>
            <w:tcBorders>
              <w:left w:val="single" w:sz="18" w:color="1F7A8C"/>
            </w:tcBorders>
          </w:tcPr>
          <w:p>
            <w:r>
              <w:rPr>
                <w:b/>
                <w:i w:val="0"/>
                <w:color w:val="17324D"/>
                <w:sz w:val="21"/>
              </w:rPr>
              <w:t xml:space="preserve">Model note</w:t>
            </w:r>
          </w:p>
          <w:p>
            <w:pPr>
              <w:spacing w:after="0"/>
            </w:pPr>
            <w:r>
              <w:rPr>
                <w:b w:val="0"/>
                <w:i w:val="0"/>
                <w:color w:val="243442"/>
                <w:sz w:val="18"/>
              </w:rPr>
              <w:t xml:space="preserve">The model types and variables shown in this document are examples. In a real project, the algorithm is selected based on data quality and validation performance; explainability and operational usability are assessed together.</w:t>
            </w:r>
          </w:p>
        </w:tc>
      </w:tr>
    </w:tbl>
    <w:p>
      <w:pPr>
        <w:pStyle w:val="Heading1"/>
        <w:keepNext/>
        <w:pBdr>
          <w:bottom w:val="single" w:sz="16" w:space="3" w:color="D7A84B"/>
        </w:pBdr>
      </w:pPr>
      <w:r>
        <w:rPr>
          <w:b/>
          <w:color w:val="17324D"/>
        </w:rPr>
        <w:t xml:space="preserve">03. Demand Forecasting, Occupancy and Channel Performance</w:t>
      </w:r>
    </w:p>
    <w:p>
      <w:pPr>
        <w:spacing w:after="160"/>
      </w:pPr>
      <w:r>
        <w:rPr>
          <w:b w:val="0"/>
          <w:i/>
          <w:color w:val="637381"/>
          <w:sz w:val="19"/>
        </w:rPr>
        <w:t xml:space="preserve">Reading booking pace, channel mix and cancellation behavior together</w:t>
      </w:r>
    </w:p>
    <w:p>
      <w:r>
        <w:rPr>
          <w:b w:val="0"/>
          <w:i w:val="0"/>
          <w:color w:val="243442"/>
          <w:sz w:val="19"/>
        </w:rPr>
        <w:t xml:space="preserve">Instead of basing occupancy forecasts only on past occupancy rates, the current reservation level, booking pickup, lead time, season, day type, price, channel mix and cancellation behavior can be considered together.</w:t>
      </w:r>
    </w:p>
    <w:p>
      <w:pPr>
        <w:pStyle w:val="Heading2"/>
      </w:pPr>
      <w:r>
        <w:t xml:space="preserve">Sample variable set</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376"/>
            <w:shd w:fill="17324D"/>
            <w:tcMar>
              <w:top w:w="80" w:type="dxa"/>
              <w:start w:w="80" w:type="dxa"/>
              <w:bottom w:w="80" w:type="dxa"/>
              <w:end w:w="80" w:type="dxa"/>
            </w:tcMar>
            <w:vAlign w:val="center"/>
          </w:tcPr>
          <w:p>
            <w:pPr>
              <w:jc w:val="center"/>
            </w:pPr>
            <w:r>
              <w:rPr>
                <w:b/>
                <w:i w:val="0"/>
                <w:color w:val="FFFFFF"/>
                <w:sz w:val="17"/>
              </w:rPr>
              <w:t xml:space="preserve">Variable group</w:t>
            </w:r>
          </w:p>
        </w:tc>
        <w:tc>
          <w:tcPr>
            <w:tcW w:type="dxa" w:w="7560"/>
            <w:shd w:fill="17324D"/>
            <w:tcMar>
              <w:top w:w="80" w:type="dxa"/>
              <w:start w:w="80" w:type="dxa"/>
              <w:bottom w:w="80" w:type="dxa"/>
              <w:end w:w="80" w:type="dxa"/>
            </w:tcMar>
            <w:vAlign w:val="center"/>
          </w:tcPr>
          <w:p>
            <w:pPr>
              <w:jc w:val="center"/>
            </w:pPr>
            <w:r>
              <w:rPr>
                <w:b/>
                <w:i w:val="0"/>
                <w:color w:val="FFFFFF"/>
                <w:sz w:val="17"/>
              </w:rPr>
              <w:t xml:space="preserve">Sample indicators</w:t>
            </w:r>
          </w:p>
        </w:tc>
      </w:tr>
      <w:tr>
        <w:tc>
          <w:tcPr>
            <w:tcW w:type="dxa" w:w="2376"/>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Demand signals</w:t>
            </w:r>
          </w:p>
        </w:tc>
        <w:tc>
          <w:tcPr>
            <w:tcW w:type="dxa" w:w="7560"/>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On-the-books occupancy, booking pickup over the last 7/14/30 days, average booking lead time</w:t>
            </w:r>
          </w:p>
        </w:tc>
      </w:tr>
      <w:tr>
        <w:tc>
          <w:tcPr>
            <w:tcW w:type="dxa" w:w="2376"/>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Pricing &amp; inventory</w:t>
            </w:r>
          </w:p>
        </w:tc>
        <w:tc>
          <w:tcPr>
            <w:tcW w:type="dxa" w:w="7560"/>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ADR, room-type availability, promotion/discount status</w:t>
            </w:r>
          </w:p>
        </w:tc>
      </w:tr>
      <w:tr>
        <w:tc>
          <w:tcPr>
            <w:tcW w:type="dxa" w:w="2376"/>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Calendar</w:t>
            </w:r>
          </w:p>
        </w:tc>
        <w:tc>
          <w:tcPr>
            <w:tcW w:type="dxa" w:w="7560"/>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Day of week, month/season, public holiday or local event indicator</w:t>
            </w:r>
          </w:p>
        </w:tc>
      </w:tr>
      <w:tr>
        <w:tc>
          <w:tcPr>
            <w:tcW w:type="dxa" w:w="2376"/>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Distribution channel</w:t>
            </w:r>
          </w:p>
        </w:tc>
        <w:tc>
          <w:tcPr>
            <w:tcW w:type="dxa" w:w="7560"/>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OTA share, direct website share, tour operator share</w:t>
            </w:r>
          </w:p>
        </w:tc>
      </w:tr>
      <w:tr>
        <w:tc>
          <w:tcPr>
            <w:tcW w:type="dxa" w:w="2376"/>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Cancellation behavior</w:t>
            </w:r>
          </w:p>
        </w:tc>
        <w:tc>
          <w:tcPr>
            <w:tcW w:type="dxa" w:w="7560"/>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 xml:space="preserve">Overall cancellation rate and channel-level cancellation rates</w:t>
            </w:r>
          </w:p>
        </w:tc>
      </w:tr>
    </w:tbl>
    <w:p>
      <w:pPr>
        <w:pStyle w:val="Heading2"/>
      </w:pPr>
      <w:r>
        <w:t xml:space="preserve">Sample 8-week occupancy forecast</w:t>
      </w:r>
    </w:p>
    <w:p>
      <w:r>
        <w:drawing>
          <wp:inline xmlns:a="http://schemas.openxmlformats.org/drawingml/2006/main" xmlns:pic="http://schemas.openxmlformats.org/drawingml/2006/picture">
            <wp:extent cx="6355080" cy="2996931"/>
            <wp:docPr id="1" name="Picture 1" descr="Sekiz haftalık mevcut rezervasyon ve tahmini nihai doluluk çizgi grafiği"/>
            <wp:cNvGraphicFramePr>
              <a:graphicFrameLocks noChangeAspect="1"/>
            </wp:cNvGraphicFramePr>
            <a:graphic>
              <a:graphicData uri="http://schemas.openxmlformats.org/drawingml/2006/picture">
                <pic:pic>
                  <pic:nvPicPr>
                    <pic:cNvPr id="0" name="01_demand_forecast.png"/>
                    <pic:cNvPicPr/>
                  </pic:nvPicPr>
                  <pic:blipFill>
                    <a:blip r:embed="rId11"/>
                    <a:stretch>
                      <a:fillRect/>
                    </a:stretch>
                  </pic:blipFill>
                  <pic:spPr>
                    <a:xfrm>
                      <a:off x="0" y="0"/>
                      <a:ext cx="6355080" cy="2996931"/>
                    </a:xfrm>
                    <a:prstGeom prst="rect"/>
                  </pic:spPr>
                </pic:pic>
              </a:graphicData>
            </a:graphic>
          </wp:inline>
        </w:drawing>
      </w:r>
    </w:p>
    <w:p>
      <w:pPr>
        <w:spacing w:before="60" w:after="160"/>
        <w:jc w:val="center"/>
      </w:pPr>
      <w:r>
        <w:rPr>
          <w:b w:val="0"/>
          <w:i/>
          <w:color w:val="637381"/>
          <w:sz w:val="16"/>
        </w:rPr>
        <w:t xml:space="preserve">Figure 1. The gap between the current reservation level and forecast final occupancy shows the remaining sales potential.</w:t>
      </w:r>
    </w:p>
    <w:tbl>
      <w:tblPr>
        <w:tblW w:type="auto" w:w="0"/>
        <w:jc w:val="center"/>
        <w:tblLook w:firstColumn="1" w:firstRow="1" w:lastColumn="0" w:lastRow="0" w:noHBand="0" w:noVBand="1" w:val="04A0"/>
      </w:tblPr>
      <w:tblGrid>
        <w:gridCol w:w="10166"/>
      </w:tblGrid>
      <w:tr>
        <w:tc>
          <w:tcPr>
            <w:tcW w:type="dxa" w:w="10166"/>
            <w:shd w:fill="EAF4F5"/>
            <w:tcMar>
              <w:top w:w="130" w:type="dxa"/>
              <w:start w:w="160" w:type="dxa"/>
              <w:bottom w:w="130" w:type="dxa"/>
              <w:end w:w="160" w:type="dxa"/>
            </w:tcMar>
            <w:tcBorders>
              <w:left w:val="single" w:sz="18" w:color="1F7A8C"/>
            </w:tcBorders>
          </w:tcPr>
          <w:p>
            <w:r>
              <w:rPr>
                <w:b/>
                <w:i w:val="0"/>
                <w:color w:val="17324D"/>
                <w:sz w:val="21"/>
              </w:rPr>
              <w:t xml:space="preserve">Management commentary</w:t>
            </w:r>
          </w:p>
          <w:p>
            <w:pPr>
              <w:spacing w:after="0"/>
            </w:pPr>
            <w:r>
              <w:rPr>
                <w:b w:val="0"/>
                <w:i w:val="0"/>
                <w:color w:val="243442"/>
                <w:sz w:val="18"/>
              </w:rPr>
              <w:t xml:space="preserve">Forecast occupancy reaches 91% in week 6. In this period, reducing discount inventory, protecting rates on high-demand room types and bringing staff planning forward can be considered.</w:t>
            </w:r>
          </w:p>
        </w:tc>
      </w:tr>
    </w:tbl>
    <w:p>
      <w:pPr>
        <w:pStyle w:val="Heading2"/>
      </w:pPr>
      <w:r>
        <w:t xml:space="preserve">Channel mix and cancellation rate</w:t>
      </w:r>
    </w:p>
    <w:p>
      <w:r>
        <w:drawing>
          <wp:inline xmlns:a="http://schemas.openxmlformats.org/drawingml/2006/main" xmlns:pic="http://schemas.openxmlformats.org/drawingml/2006/picture">
            <wp:extent cx="6080760" cy="2967989"/>
            <wp:docPr id="2" name="Picture 2" descr="Direct website, OTA ve tur operatörü için rezervasyon payı ve iptal oranı sütun grafiği"/>
            <wp:cNvGraphicFramePr>
              <a:graphicFrameLocks noChangeAspect="1"/>
            </wp:cNvGraphicFramePr>
            <a:graphic>
              <a:graphicData uri="http://schemas.openxmlformats.org/drawingml/2006/picture">
                <pic:pic>
                  <pic:nvPicPr>
                    <pic:cNvPr id="0" name="02_channel_cancellation.png"/>
                    <pic:cNvPicPr/>
                  </pic:nvPicPr>
                  <pic:blipFill>
                    <a:blip r:embed="rId12"/>
                    <a:stretch>
                      <a:fillRect/>
                    </a:stretch>
                  </pic:blipFill>
                  <pic:spPr>
                    <a:xfrm>
                      <a:off x="0" y="0"/>
                      <a:ext cx="6080760" cy="2967989"/>
                    </a:xfrm>
                    <a:prstGeom prst="rect"/>
                  </pic:spPr>
                </pic:pic>
              </a:graphicData>
            </a:graphic>
          </wp:inline>
        </w:drawing>
      </w:r>
    </w:p>
    <w:p>
      <w:pPr>
        <w:spacing w:before="60" w:after="160"/>
        <w:jc w:val="center"/>
      </w:pPr>
      <w:r>
        <w:rPr>
          <w:b w:val="0"/>
          <w:i/>
          <w:color w:val="637381"/>
          <w:sz w:val="16"/>
        </w:rPr>
        <w:t xml:space="preserve">Figure 2. Channel share alone is not sufficient; it should be monitored together with cancellation behavior and net realized revenue.</w:t>
      </w:r>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 xml:space="preserve">Sample finding</w:t>
            </w:r>
          </w:p>
          <w:p>
            <w:pPr>
              <w:spacing w:after="0"/>
            </w:pPr>
            <w:r>
              <w:rPr>
                <w:b w:val="0"/>
                <w:i w:val="0"/>
                <w:color w:val="243442"/>
                <w:sz w:val="18"/>
              </w:rPr>
              <w:t xml:space="preserve">The OTA channel accounts for 44% of total reservations, with a sample cancellation rate of 16%. On the direct web channel, the cancellation rate is 7%. This picture makes channel-level tracking of net room-nights and net revenue meaningful.</w:t>
            </w:r>
          </w:p>
        </w:tc>
      </w:tr>
    </w:tbl>
    <w:p>
      <w:pPr>
        <w:pStyle w:val="Heading1"/>
        <w:keepNext/>
        <w:pBdr>
          <w:bottom w:val="single" w:sz="16" w:space="3" w:color="D7A84B"/>
        </w:pBdr>
      </w:pPr>
      <w:r>
        <w:rPr>
          <w:b/>
          <w:color w:val="17324D"/>
        </w:rPr>
        <w:t xml:space="preserve">04. Guest Segmentation and RFM Analysis</w:t>
      </w:r>
    </w:p>
    <w:p>
      <w:pPr>
        <w:spacing w:after="160"/>
      </w:pPr>
      <w:r>
        <w:rPr>
          <w:b w:val="0"/>
          <w:i/>
          <w:color w:val="637381"/>
          <w:sz w:val="19"/>
        </w:rPr>
        <w:t xml:space="preserve">Turning Recency, Frequency and Monetary behavior into action</w:t>
      </w:r>
    </w:p>
    <w:p>
      <w:r>
        <w:rPr>
          <w:b w:val="0"/>
          <w:i w:val="0"/>
          <w:color w:val="243442"/>
          <w:sz w:val="19"/>
        </w:rPr>
        <w:t xml:space="preserve">RFM analysis separates guests behaviorally by their most recent stay (Recency), repeat frequency (Frequency) and spending level (Monetary). Depending on the business, variables such as average length of stay or ancillary spend can also be added.</w:t>
      </w:r>
    </w:p>
    <w:tbl>
      <w:tblPr>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2088"/>
            <w:shd w:fill="17324D"/>
            <w:tcMar>
              <w:top w:w="80" w:type="dxa"/>
              <w:start w:w="80" w:type="dxa"/>
              <w:bottom w:w="80" w:type="dxa"/>
              <w:end w:w="80" w:type="dxa"/>
            </w:tcMar>
            <w:vAlign w:val="center"/>
          </w:tcPr>
          <w:p>
            <w:pPr>
              <w:jc w:val="center"/>
            </w:pPr>
            <w:r>
              <w:rPr>
                <w:b/>
                <w:i w:val="0"/>
                <w:color w:val="FFFFFF"/>
                <w:sz w:val="17"/>
              </w:rPr>
              <w:t xml:space="preserve">Segment</w:t>
            </w:r>
          </w:p>
        </w:tc>
        <w:tc>
          <w:tcPr>
            <w:tcW w:type="dxa" w:w="792"/>
            <w:shd w:fill="17324D"/>
            <w:tcMar>
              <w:top w:w="80" w:type="dxa"/>
              <w:start w:w="80" w:type="dxa"/>
              <w:bottom w:w="80" w:type="dxa"/>
              <w:end w:w="80" w:type="dxa"/>
            </w:tcMar>
            <w:vAlign w:val="center"/>
          </w:tcPr>
          <w:p>
            <w:pPr>
              <w:jc w:val="center"/>
            </w:pPr>
            <w:r>
              <w:rPr>
                <w:b/>
                <w:i w:val="0"/>
                <w:color w:val="FFFFFF"/>
                <w:sz w:val="17"/>
              </w:rPr>
              <w:t xml:space="preserve">Share</w:t>
            </w:r>
          </w:p>
        </w:tc>
        <w:tc>
          <w:tcPr>
            <w:tcW w:type="dxa" w:w="1008"/>
            <w:shd w:fill="17324D"/>
            <w:tcMar>
              <w:top w:w="80" w:type="dxa"/>
              <w:start w:w="80" w:type="dxa"/>
              <w:bottom w:w="80" w:type="dxa"/>
              <w:end w:w="80" w:type="dxa"/>
            </w:tcMar>
            <w:vAlign w:val="center"/>
          </w:tcPr>
          <w:p>
            <w:pPr>
              <w:jc w:val="center"/>
            </w:pPr>
            <w:r>
              <w:rPr>
                <w:b/>
                <w:i w:val="0"/>
                <w:color w:val="FFFFFF"/>
                <w:sz w:val="17"/>
              </w:rPr>
              <w:t xml:space="preserve">Recency</w:t>
            </w:r>
          </w:p>
        </w:tc>
        <w:tc>
          <w:tcPr>
            <w:tcW w:type="dxa" w:w="1152"/>
            <w:shd w:fill="17324D"/>
            <w:tcMar>
              <w:top w:w="80" w:type="dxa"/>
              <w:start w:w="80" w:type="dxa"/>
              <w:bottom w:w="80" w:type="dxa"/>
              <w:end w:w="80" w:type="dxa"/>
            </w:tcMar>
            <w:vAlign w:val="center"/>
          </w:tcPr>
          <w:p>
            <w:pPr>
              <w:jc w:val="center"/>
            </w:pPr>
            <w:r>
              <w:rPr>
                <w:b/>
                <w:i w:val="0"/>
                <w:color w:val="FFFFFF"/>
                <w:sz w:val="17"/>
              </w:rPr>
              <w:t xml:space="preserve">Frequency</w:t>
            </w:r>
          </w:p>
        </w:tc>
        <w:tc>
          <w:tcPr>
            <w:tcW w:type="dxa" w:w="1152"/>
            <w:shd w:fill="17324D"/>
            <w:tcMar>
              <w:top w:w="80" w:type="dxa"/>
              <w:start w:w="80" w:type="dxa"/>
              <w:bottom w:w="80" w:type="dxa"/>
              <w:end w:w="80" w:type="dxa"/>
            </w:tcMar>
            <w:vAlign w:val="center"/>
          </w:tcPr>
          <w:p>
            <w:pPr>
              <w:jc w:val="center"/>
            </w:pPr>
            <w:r>
              <w:rPr>
                <w:b/>
                <w:i w:val="0"/>
                <w:color w:val="FFFFFF"/>
                <w:sz w:val="17"/>
              </w:rPr>
              <w:t xml:space="preserve">Monetary</w:t>
            </w:r>
          </w:p>
        </w:tc>
        <w:tc>
          <w:tcPr>
            <w:tcW w:type="dxa" w:w="3456"/>
            <w:shd w:fill="17324D"/>
            <w:tcMar>
              <w:top w:w="80" w:type="dxa"/>
              <w:start w:w="80" w:type="dxa"/>
              <w:bottom w:w="80" w:type="dxa"/>
              <w:end w:w="80" w:type="dxa"/>
            </w:tcMar>
            <w:vAlign w:val="center"/>
          </w:tcPr>
          <w:p>
            <w:pPr>
              <w:jc w:val="center"/>
            </w:pPr>
            <w:r>
              <w:rPr>
                <w:b/>
                <w:i w:val="0"/>
                <w:color w:val="FFFFFF"/>
                <w:sz w:val="17"/>
              </w:rPr>
              <w:t xml:space="preserve">Sample action</w:t>
            </w:r>
          </w:p>
        </w:tc>
      </w:tr>
      <w:tr>
        <w:tc>
          <w:tcPr>
            <w:tcW w:type="dxa" w:w="2088"/>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Loyal / High Value</w:t>
            </w:r>
          </w:p>
        </w:tc>
        <w:tc>
          <w:tcPr>
            <w:tcW w:type="dxa" w:w="79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28%</w:t>
            </w:r>
          </w:p>
        </w:tc>
        <w:tc>
          <w:tcPr>
            <w:tcW w:type="dxa" w:w="1008"/>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Low</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High</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High</w:t>
            </w:r>
          </w:p>
        </w:tc>
        <w:tc>
          <w:tcPr>
            <w:tcW w:type="dxa" w:w="3456"/>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Loyalty privileges, direct booking offer</w:t>
            </w:r>
          </w:p>
        </w:tc>
      </w:tr>
      <w:tr>
        <w:tc>
          <w:tcPr>
            <w:tcW w:type="dxa" w:w="2088"/>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Price-Driven</w:t>
            </w:r>
          </w:p>
        </w:tc>
        <w:tc>
          <w:tcPr>
            <w:tcW w:type="dxa" w:w="79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34%</w:t>
            </w:r>
          </w:p>
        </w:tc>
        <w:tc>
          <w:tcPr>
            <w:tcW w:type="dxa" w:w="1008"/>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Medium</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Low-Medium</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Medium</w:t>
            </w:r>
          </w:p>
        </w:tc>
        <w:tc>
          <w:tcPr>
            <w:tcW w:type="dxa" w:w="3456"/>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Price-sensitive, seasonal campaign</w:t>
            </w:r>
          </w:p>
        </w:tc>
      </w:tr>
      <w:tr>
        <w:tc>
          <w:tcPr>
            <w:tcW w:type="dxa" w:w="2088"/>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Experience Seekers</w:t>
            </w:r>
          </w:p>
        </w:tc>
        <w:tc>
          <w:tcPr>
            <w:tcW w:type="dxa" w:w="79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22%</w:t>
            </w:r>
          </w:p>
        </w:tc>
        <w:tc>
          <w:tcPr>
            <w:tcW w:type="dxa" w:w="1008"/>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Medium</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Medium</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Very high</w:t>
            </w:r>
          </w:p>
        </w:tc>
        <w:tc>
          <w:tcPr>
            <w:tcW w:type="dxa" w:w="3456"/>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Premium service and personalization</w:t>
            </w:r>
          </w:p>
        </w:tc>
      </w:tr>
      <w:tr>
        <w:tc>
          <w:tcPr>
            <w:tcW w:type="dxa" w:w="2088"/>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One-Time / Opportunistic</w:t>
            </w:r>
          </w:p>
        </w:tc>
        <w:tc>
          <w:tcPr>
            <w:tcW w:type="dxa" w:w="79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16%</w:t>
            </w:r>
          </w:p>
        </w:tc>
        <w:tc>
          <w:tcPr>
            <w:tcW w:type="dxa" w:w="1008"/>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High</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Low</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Low</w:t>
            </w:r>
          </w:p>
        </w:tc>
        <w:tc>
          <w:tcPr>
            <w:tcW w:type="dxa" w:w="3456"/>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Offer that triggers a second stay</w:t>
            </w:r>
          </w:p>
        </w:tc>
      </w:tr>
    </w:tbl>
    <w:p>
      <w:pPr>
        <w:pStyle w:val="Heading2"/>
      </w:pPr>
      <w:r>
        <w:t xml:space="preserve">Visual profile of RFM segments</w:t>
      </w:r>
    </w:p>
    <w:p>
      <w:r>
        <w:drawing>
          <wp:inline xmlns:a="http://schemas.openxmlformats.org/drawingml/2006/main" xmlns:pic="http://schemas.openxmlformats.org/drawingml/2006/picture">
            <wp:extent cx="6080760" cy="3341388"/>
            <wp:docPr id="3" name="Picture 3" descr="RFM segmentlerini recency ve frequency ekseninde monetary büyüklüğü ile gösteren baloncuk grafiği"/>
            <wp:cNvGraphicFramePr>
              <a:graphicFrameLocks noChangeAspect="1"/>
            </wp:cNvGraphicFramePr>
            <a:graphic>
              <a:graphicData uri="http://schemas.openxmlformats.org/drawingml/2006/picture">
                <pic:pic>
                  <pic:nvPicPr>
                    <pic:cNvPr id="0" name="03_rfm_bubbles.png"/>
                    <pic:cNvPicPr/>
                  </pic:nvPicPr>
                  <pic:blipFill>
                    <a:blip r:embed="rId13"/>
                    <a:stretch>
                      <a:fillRect/>
                    </a:stretch>
                  </pic:blipFill>
                  <pic:spPr>
                    <a:xfrm>
                      <a:off x="0" y="0"/>
                      <a:ext cx="6080760" cy="3341388"/>
                    </a:xfrm>
                    <a:prstGeom prst="rect"/>
                  </pic:spPr>
                </pic:pic>
              </a:graphicData>
            </a:graphic>
          </wp:inline>
        </w:drawing>
      </w:r>
    </w:p>
    <w:p>
      <w:pPr>
        <w:spacing w:before="60" w:after="160"/>
        <w:jc w:val="center"/>
      </w:pPr>
      <w:r>
        <w:rPr>
          <w:b w:val="0"/>
          <w:i/>
          <w:color w:val="637381"/>
          <w:sz w:val="16"/>
        </w:rPr>
        <w:t xml:space="preserve">Figure 3. Bubble size represents monetary value; segments that are high-value but slowing down in behavior can provide an early warning for CRM.</w:t>
      </w:r>
    </w:p>
    <w:tbl>
      <w:tblPr>
        <w:tblW w:type="auto" w:w="0"/>
        <w:jc w:val="center"/>
        <w:tblLook w:firstColumn="1" w:firstRow="1" w:lastColumn="0" w:lastRow="0" w:noHBand="0" w:noVBand="1" w:val="04A0"/>
      </w:tblPr>
      <w:tblGrid>
        <w:gridCol w:w="10166"/>
      </w:tblGrid>
      <w:tr>
        <w:tc>
          <w:tcPr>
            <w:tcW w:type="dxa" w:w="10166"/>
            <w:shd w:fill="EAF4F5"/>
            <w:tcMar>
              <w:top w:w="130" w:type="dxa"/>
              <w:start w:w="160" w:type="dxa"/>
              <w:bottom w:w="130" w:type="dxa"/>
              <w:end w:w="160" w:type="dxa"/>
            </w:tcMar>
            <w:tcBorders>
              <w:left w:val="single" w:sz="18" w:color="1F7A8C"/>
            </w:tcBorders>
          </w:tcPr>
          <w:p>
            <w:r>
              <w:rPr>
                <w:b/>
                <w:i w:val="0"/>
                <w:color w:val="17324D"/>
                <w:sz w:val="21"/>
              </w:rPr>
              <w:t xml:space="preserve">Management commentary</w:t>
            </w:r>
          </w:p>
          <w:p>
            <w:pPr>
              <w:spacing w:after="0"/>
            </w:pPr>
            <w:r>
              <w:rPr>
                <w:b w:val="0"/>
                <w:i w:val="0"/>
                <w:color w:val="243442"/>
                <w:sz w:val="18"/>
              </w:rPr>
              <w:t xml:space="preserve">The purpose of segmentation is not merely to produce “guest types”, but to differentiate offer, channel, service and win-back decisions. In particular, an increase in recency among guests with high monetary value can be monitored as an early churn signal.</w:t>
            </w:r>
          </w:p>
        </w:tc>
      </w:tr>
    </w:tbl>
    <w:p>
      <w:pPr>
        <w:pStyle w:val="Heading1"/>
        <w:keepNext/>
        <w:pBdr>
          <w:bottom w:val="single" w:sz="16" w:space="3" w:color="D7A84B"/>
        </w:pBdr>
      </w:pPr>
      <w:r>
        <w:rPr>
          <w:b/>
          <w:color w:val="17324D"/>
        </w:rPr>
        <w:t xml:space="preserve">05. Guest Voice Analytics: Topic Modelling + Sentiment</w:t>
      </w:r>
    </w:p>
    <w:p>
      <w:pPr>
        <w:spacing w:after="160"/>
      </w:pPr>
      <w:r>
        <w:rPr>
          <w:b w:val="0"/>
          <w:i/>
          <w:color w:val="637381"/>
          <w:sz w:val="19"/>
        </w:rPr>
        <w:t xml:space="preserve">Moving from the overall sentiment rate to which experience area creates problems</w:t>
      </w:r>
    </w:p>
    <w:p>
      <w:r>
        <w:rPr>
          <w:b w:val="0"/>
          <w:i w:val="0"/>
          <w:color w:val="243442"/>
          <w:sz w:val="19"/>
        </w:rPr>
        <w:t xml:space="preserve">Instead of classifying online reviews only as positive / neutral / negative, they can first be split into experience topics and the sentiment distribution calculated for each topic. In this way, it can be determined at which operational touchpoints an apparently low overall negativity rate is concentrated.</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75%</w:t>
            </w:r>
          </w:p>
          <w:p>
            <w:pPr>
              <w:jc w:val="center"/>
            </w:pPr>
            <w:r>
              <w:rPr>
                <w:b/>
                <w:i w:val="0"/>
                <w:color w:val="243442"/>
                <w:sz w:val="18"/>
              </w:rPr>
              <w:t xml:space="preserve">Positive</w:t>
            </w:r>
          </w:p>
          <w:p>
            <w:pPr>
              <w:jc w:val="center"/>
            </w:pPr>
            <w:r>
              <w:rPr>
                <w:b w:val="0"/>
                <w:i w:val="0"/>
                <w:color w:val="637381"/>
                <w:sz w:val="15"/>
              </w:rPr>
              <w:t xml:space="preserve">all reviews</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9%</w:t>
            </w:r>
          </w:p>
          <w:p>
            <w:pPr>
              <w:jc w:val="center"/>
            </w:pPr>
            <w:r>
              <w:rPr>
                <w:b/>
                <w:i w:val="0"/>
                <w:color w:val="243442"/>
                <w:sz w:val="18"/>
              </w:rPr>
              <w:t xml:space="preserve">Neutral</w:t>
            </w:r>
          </w:p>
          <w:p>
            <w:pPr>
              <w:jc w:val="center"/>
            </w:pPr>
            <w:r>
              <w:rPr>
                <w:b w:val="0"/>
                <w:i w:val="0"/>
                <w:color w:val="637381"/>
                <w:sz w:val="15"/>
              </w:rPr>
              <w:t xml:space="preserve">all reviews</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16%</w:t>
            </w:r>
          </w:p>
          <w:p>
            <w:pPr>
              <w:jc w:val="center"/>
            </w:pPr>
            <w:r>
              <w:rPr>
                <w:b/>
                <w:i w:val="0"/>
                <w:color w:val="243442"/>
                <w:sz w:val="18"/>
              </w:rPr>
              <w:t xml:space="preserve">Negative</w:t>
            </w:r>
          </w:p>
          <w:p>
            <w:pPr>
              <w:jc w:val="center"/>
            </w:pPr>
            <w:r>
              <w:rPr>
                <w:b w:val="0"/>
                <w:i w:val="0"/>
                <w:color w:val="637381"/>
                <w:sz w:val="15"/>
              </w:rPr>
              <w:t xml:space="preserve">all reviews</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31%</w:t>
            </w:r>
          </w:p>
          <w:p>
            <w:pPr>
              <w:jc w:val="center"/>
            </w:pPr>
            <w:r>
              <w:rPr>
                <w:b/>
                <w:i w:val="0"/>
                <w:color w:val="243442"/>
                <w:sz w:val="18"/>
              </w:rPr>
              <w:t xml:space="preserve">Highest negativity</w:t>
            </w:r>
          </w:p>
          <w:p>
            <w:pPr>
              <w:jc w:val="center"/>
            </w:pPr>
            <w:r>
              <w:rPr>
                <w:b w:val="0"/>
                <w:i w:val="0"/>
                <w:color w:val="637381"/>
                <w:sz w:val="15"/>
              </w:rPr>
              <w:t xml:space="preserve">check-in / reception</w:t>
            </w:r>
          </w:p>
        </w:tc>
      </w:tr>
    </w:tbl>
    <w:p>
      <w:pPr>
        <w:pStyle w:val="Heading2"/>
      </w:pPr>
      <w:r>
        <w:t xml:space="preserve">Topic-based sentiment distribution</w:t>
      </w:r>
    </w:p>
    <w:p>
      <w:r>
        <w:drawing>
          <wp:inline xmlns:a="http://schemas.openxmlformats.org/drawingml/2006/main" xmlns:pic="http://schemas.openxmlformats.org/drawingml/2006/picture">
            <wp:extent cx="6263640" cy="3383806"/>
            <wp:docPr id="4" name="Picture 4" descr="Altı otel deneyim konusu için olumlu nötr ve olumsuz duygu yüzdelerini gösteren ısı haritası"/>
            <wp:cNvGraphicFramePr>
              <a:graphicFrameLocks noChangeAspect="1"/>
            </wp:cNvGraphicFramePr>
            <a:graphic>
              <a:graphicData uri="http://schemas.openxmlformats.org/drawingml/2006/picture">
                <pic:pic>
                  <pic:nvPicPr>
                    <pic:cNvPr id="0" name="04_topic_sentiment_heatmap.png"/>
                    <pic:cNvPicPr/>
                  </pic:nvPicPr>
                  <pic:blipFill>
                    <a:blip r:embed="rId14"/>
                    <a:stretch>
                      <a:fillRect/>
                    </a:stretch>
                  </pic:blipFill>
                  <pic:spPr>
                    <a:xfrm>
                      <a:off x="0" y="0"/>
                      <a:ext cx="6263640" cy="3383806"/>
                    </a:xfrm>
                    <a:prstGeom prst="rect"/>
                  </pic:spPr>
                </pic:pic>
              </a:graphicData>
            </a:graphic>
          </wp:inline>
        </w:drawing>
      </w:r>
    </w:p>
    <w:p>
      <w:pPr>
        <w:spacing w:before="60" w:after="160"/>
        <w:jc w:val="center"/>
      </w:pPr>
      <w:r>
        <w:rPr>
          <w:b w:val="0"/>
          <w:i/>
          <w:color w:val="637381"/>
          <w:sz w:val="16"/>
        </w:rPr>
        <w:t xml:space="preserve">Figure 4. Topic-based sentiment analysis makes visible the operational concentrations that the overall sentiment distribution can hide.</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3240"/>
            <w:shd w:fill="17324D"/>
            <w:tcMar>
              <w:top w:w="80" w:type="dxa"/>
              <w:start w:w="80" w:type="dxa"/>
              <w:bottom w:w="80" w:type="dxa"/>
              <w:end w:w="80" w:type="dxa"/>
            </w:tcMar>
            <w:vAlign w:val="center"/>
          </w:tcPr>
          <w:p>
            <w:pPr>
              <w:jc w:val="center"/>
            </w:pPr>
            <w:r>
              <w:rPr>
                <w:b/>
                <w:i w:val="0"/>
                <w:color w:val="FFFFFF"/>
                <w:sz w:val="17"/>
              </w:rPr>
              <w:t xml:space="preserve">Topic</w:t>
            </w:r>
          </w:p>
        </w:tc>
        <w:tc>
          <w:tcPr>
            <w:tcW w:type="dxa" w:w="1584"/>
            <w:shd w:fill="17324D"/>
            <w:tcMar>
              <w:top w:w="80" w:type="dxa"/>
              <w:start w:w="80" w:type="dxa"/>
              <w:bottom w:w="80" w:type="dxa"/>
              <w:end w:w="80" w:type="dxa"/>
            </w:tcMar>
            <w:vAlign w:val="center"/>
          </w:tcPr>
          <w:p>
            <w:pPr>
              <w:jc w:val="center"/>
            </w:pPr>
            <w:r>
              <w:rPr>
                <w:b/>
                <w:i w:val="0"/>
                <w:color w:val="FFFFFF"/>
                <w:sz w:val="17"/>
              </w:rPr>
              <w:t xml:space="preserve">Review Share</w:t>
            </w:r>
          </w:p>
        </w:tc>
        <w:tc>
          <w:tcPr>
            <w:tcW w:type="dxa" w:w="1440"/>
            <w:shd w:fill="17324D"/>
            <w:tcMar>
              <w:top w:w="80" w:type="dxa"/>
              <w:start w:w="80" w:type="dxa"/>
              <w:bottom w:w="80" w:type="dxa"/>
              <w:end w:w="80" w:type="dxa"/>
            </w:tcMar>
            <w:vAlign w:val="center"/>
          </w:tcPr>
          <w:p>
            <w:pPr>
              <w:jc w:val="center"/>
            </w:pPr>
            <w:r>
              <w:rPr>
                <w:b/>
                <w:i w:val="0"/>
                <w:color w:val="FFFFFF"/>
                <w:sz w:val="17"/>
              </w:rPr>
              <w:t xml:space="preserve">Positive</w:t>
            </w:r>
          </w:p>
        </w:tc>
        <w:tc>
          <w:tcPr>
            <w:tcW w:type="dxa" w:w="1440"/>
            <w:shd w:fill="17324D"/>
            <w:tcMar>
              <w:top w:w="80" w:type="dxa"/>
              <w:start w:w="80" w:type="dxa"/>
              <w:bottom w:w="80" w:type="dxa"/>
              <w:end w:w="80" w:type="dxa"/>
            </w:tcMar>
            <w:vAlign w:val="center"/>
          </w:tcPr>
          <w:p>
            <w:pPr>
              <w:jc w:val="center"/>
            </w:pPr>
            <w:r>
              <w:rPr>
                <w:b/>
                <w:i w:val="0"/>
                <w:color w:val="FFFFFF"/>
                <w:sz w:val="17"/>
              </w:rPr>
              <w:t xml:space="preserve">Neutral</w:t>
            </w:r>
          </w:p>
        </w:tc>
        <w:tc>
          <w:tcPr>
            <w:tcW w:type="dxa" w:w="1440"/>
            <w:shd w:fill="17324D"/>
            <w:tcMar>
              <w:top w:w="80" w:type="dxa"/>
              <w:start w:w="80" w:type="dxa"/>
              <w:bottom w:w="80" w:type="dxa"/>
              <w:end w:w="80" w:type="dxa"/>
            </w:tcMar>
            <w:vAlign w:val="center"/>
          </w:tcPr>
          <w:p>
            <w:pPr>
              <w:jc w:val="center"/>
            </w:pPr>
            <w:r>
              <w:rPr>
                <w:b/>
                <w:i w:val="0"/>
                <w:color w:val="FFFFFF"/>
                <w:sz w:val="17"/>
              </w:rPr>
              <w:t xml:space="preserve">Negative</w:t>
            </w:r>
          </w:p>
        </w:tc>
      </w:tr>
      <w:tr>
        <w:tc>
          <w:tcPr>
            <w:tcW w:type="dxa" w:w="32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Staff &amp; Service</w:t>
            </w:r>
          </w:p>
        </w:tc>
        <w:tc>
          <w:tcPr>
            <w:tcW w:type="dxa" w:w="1584"/>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27%</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82%</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9%</w:t>
            </w:r>
          </w:p>
        </w:tc>
        <w:tc>
          <w:tcPr>
            <w:tcW w:type="dxa" w:w="14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9%</w:t>
            </w:r>
          </w:p>
        </w:tc>
      </w:tr>
      <w:tr>
        <w:tc>
          <w:tcPr>
            <w:tcW w:type="dxa" w:w="32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Room &amp; Cleanliness</w:t>
            </w:r>
          </w:p>
        </w:tc>
        <w:tc>
          <w:tcPr>
            <w:tcW w:type="dxa" w:w="1584"/>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23%</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69%</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9%</w:t>
            </w:r>
          </w:p>
        </w:tc>
        <w:tc>
          <w:tcPr>
            <w:tcW w:type="dxa" w:w="14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22%</w:t>
            </w:r>
          </w:p>
        </w:tc>
      </w:tr>
      <w:tr>
        <w:tc>
          <w:tcPr>
            <w:tcW w:type="dxa" w:w="32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Food &amp; Beverage</w:t>
            </w:r>
          </w:p>
        </w:tc>
        <w:tc>
          <w:tcPr>
            <w:tcW w:type="dxa" w:w="1584"/>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19%</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74%</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10%</w:t>
            </w:r>
          </w:p>
        </w:tc>
        <w:tc>
          <w:tcPr>
            <w:tcW w:type="dxa" w:w="14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16%</w:t>
            </w:r>
          </w:p>
        </w:tc>
      </w:tr>
      <w:tr>
        <w:tc>
          <w:tcPr>
            <w:tcW w:type="dxa" w:w="32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Check-in / Reception</w:t>
            </w:r>
          </w:p>
        </w:tc>
        <w:tc>
          <w:tcPr>
            <w:tcW w:type="dxa" w:w="1584"/>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12%</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61%</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8%</w:t>
            </w:r>
          </w:p>
        </w:tc>
        <w:tc>
          <w:tcPr>
            <w:tcW w:type="dxa" w:w="14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31%</w:t>
            </w:r>
          </w:p>
        </w:tc>
      </w:tr>
      <w:tr>
        <w:tc>
          <w:tcPr>
            <w:tcW w:type="dxa" w:w="32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Pool &amp; Facilities</w:t>
            </w:r>
          </w:p>
        </w:tc>
        <w:tc>
          <w:tcPr>
            <w:tcW w:type="dxa" w:w="1584"/>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11%</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79%</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9%</w:t>
            </w:r>
          </w:p>
        </w:tc>
        <w:tc>
          <w:tcPr>
            <w:tcW w:type="dxa" w:w="14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12%</w:t>
            </w:r>
          </w:p>
        </w:tc>
      </w:tr>
      <w:tr>
        <w:tc>
          <w:tcPr>
            <w:tcW w:type="dxa" w:w="32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Location</w:t>
            </w:r>
          </w:p>
        </w:tc>
        <w:tc>
          <w:tcPr>
            <w:tcW w:type="dxa" w:w="1584"/>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8%</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88%</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 xml:space="preserve">7%</w:t>
            </w:r>
          </w:p>
        </w:tc>
        <w:tc>
          <w:tcPr>
            <w:tcW w:type="dxa" w:w="14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 xml:space="preserve">5%</w:t>
            </w:r>
          </w:p>
        </w:tc>
      </w:tr>
    </w:tbl>
    <w:tbl>
      <w:tblPr>
        <w:tblW w:type="auto" w:w="0"/>
        <w:jc w:val="center"/>
        <w:tblLook w:firstColumn="1" w:firstRow="1" w:lastColumn="0" w:lastRow="0" w:noHBand="0" w:noVBand="1" w:val="04A0"/>
      </w:tblPr>
      <w:tblGrid>
        <w:gridCol w:w="10166"/>
      </w:tblGrid>
      <w:tr>
        <w:tc>
          <w:tcPr>
            <w:tcW w:type="dxa" w:w="10166"/>
            <w:shd w:fill="F4F7F9"/>
            <w:tcMar>
              <w:top w:w="130" w:type="dxa"/>
              <w:start w:w="160" w:type="dxa"/>
              <w:bottom w:w="130" w:type="dxa"/>
              <w:end w:w="160" w:type="dxa"/>
            </w:tcMar>
            <w:tcBorders>
              <w:left w:val="single" w:sz="18" w:color="1F7A8C"/>
            </w:tcBorders>
          </w:tcPr>
          <w:p>
            <w:r>
              <w:rPr>
                <w:b/>
                <w:i w:val="0"/>
                <w:color w:val="17324D"/>
                <w:sz w:val="21"/>
              </w:rPr>
              <w:t xml:space="preserve">Sample review cluster</w:t>
            </w:r>
          </w:p>
          <w:p>
            <w:pPr>
              <w:spacing w:after="0"/>
            </w:pPr>
            <w:r>
              <w:rPr>
                <w:b w:val="0"/>
                <w:i w:val="0"/>
                <w:color w:val="243442"/>
                <w:sz w:val="18"/>
              </w:rPr>
              <w:t xml:space="preserve">Check-in / Reception: “Overall we were satisfied with the hotel; however, we waited a long time at check-in.”  |  Room &amp; Cleanliness: “The room was comfortable but the cleanliness standard was not the same every day.”  These examples are synthetic and are provided to illustrate the report format.</w:t>
            </w:r>
          </w:p>
        </w:tc>
      </w:tr>
    </w:tbl>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 xml:space="preserve">Management commentary</w:t>
            </w:r>
          </w:p>
          <w:p>
            <w:pPr>
              <w:spacing w:after="0"/>
            </w:pPr>
            <w:r>
              <w:rPr>
                <w:b w:val="0"/>
                <w:i w:val="0"/>
                <w:color w:val="243442"/>
                <w:sz w:val="18"/>
              </w:rPr>
              <w:t xml:space="preserve">While negative sentiment is 16% across all reviews, it rises to 31% under the check-in/reception topic. Prioritization should be based on topic-level concentration, not on the overall sentiment rate.</w:t>
            </w:r>
          </w:p>
        </w:tc>
      </w:tr>
    </w:tbl>
    <w:p>
      <w:pPr>
        <w:pStyle w:val="Heading1"/>
        <w:keepNext/>
        <w:pBdr>
          <w:bottom w:val="single" w:sz="16" w:space="3" w:color="D7A84B"/>
        </w:pBdr>
      </w:pPr>
      <w:r>
        <w:rPr>
          <w:b/>
          <w:color w:val="17324D"/>
        </w:rPr>
        <w:t xml:space="preserve">06. Churn Risk Analysis</w:t>
      </w:r>
    </w:p>
    <w:p>
      <w:pPr>
        <w:spacing w:after="160"/>
      </w:pPr>
      <w:r>
        <w:rPr>
          <w:b w:val="0"/>
          <w:i/>
          <w:color w:val="637381"/>
          <w:sz w:val="19"/>
        </w:rPr>
        <w:t xml:space="preserve">Seeing who is at risk of leaving and which behaviors increase the risk</w:t>
      </w:r>
    </w:p>
    <w:p>
      <w:r>
        <w:rPr>
          <w:b w:val="0"/>
          <w:i w:val="0"/>
          <w:color w:val="243442"/>
          <w:sz w:val="19"/>
        </w:rPr>
        <w:t xml:space="preserve">The churn model brings together behavioral slowdown signals among guests in the loyalty base or with repeat-booking potential. The aim is not to deliver a definitive “will leave / will not leave” verdict, but to set intervention priorities.</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71%</w:t>
            </w:r>
          </w:p>
          <w:p>
            <w:pPr>
              <w:jc w:val="center"/>
            </w:pPr>
            <w:r>
              <w:rPr>
                <w:b/>
                <w:i w:val="0"/>
                <w:color w:val="243442"/>
                <w:sz w:val="18"/>
              </w:rPr>
              <w:t xml:space="preserve">Low Risk</w:t>
            </w:r>
          </w:p>
          <w:p>
            <w:pPr>
              <w:jc w:val="center"/>
            </w:pPr>
            <w:r>
              <w:rPr>
                <w:b w:val="0"/>
                <w:i w:val="0"/>
                <w:color w:val="637381"/>
                <w:sz w:val="15"/>
              </w:rPr>
              <w:t xml:space="preserve">regular behavior</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21%</w:t>
            </w:r>
          </w:p>
          <w:p>
            <w:pPr>
              <w:jc w:val="center"/>
            </w:pPr>
            <w:r>
              <w:rPr>
                <w:b/>
                <w:i w:val="0"/>
                <w:color w:val="243442"/>
                <w:sz w:val="18"/>
              </w:rPr>
              <w:t xml:space="preserve">Medium Risk</w:t>
            </w:r>
          </w:p>
          <w:p>
            <w:pPr>
              <w:jc w:val="center"/>
            </w:pPr>
            <w:r>
              <w:rPr>
                <w:b w:val="0"/>
                <w:i w:val="0"/>
                <w:color w:val="637381"/>
                <w:sz w:val="15"/>
              </w:rPr>
              <w:t xml:space="preserve">early warning</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8%</w:t>
            </w:r>
          </w:p>
          <w:p>
            <w:pPr>
              <w:jc w:val="center"/>
            </w:pPr>
            <w:r>
              <w:rPr>
                <w:b/>
                <w:i w:val="0"/>
                <w:color w:val="243442"/>
                <w:sz w:val="18"/>
              </w:rPr>
              <w:t xml:space="preserve">High Risk</w:t>
            </w:r>
          </w:p>
          <w:p>
            <w:pPr>
              <w:jc w:val="center"/>
            </w:pPr>
            <w:r>
              <w:rPr>
                <w:b w:val="0"/>
                <w:i w:val="0"/>
                <w:color w:val="637381"/>
                <w:sz w:val="15"/>
              </w:rPr>
              <w:t xml:space="preserve">priority action</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 xml:space="preserve">3 months</w:t>
            </w:r>
          </w:p>
          <w:p>
            <w:pPr>
              <w:jc w:val="center"/>
            </w:pPr>
            <w:r>
              <w:rPr>
                <w:b/>
                <w:i w:val="0"/>
                <w:color w:val="243442"/>
                <w:sz w:val="18"/>
              </w:rPr>
              <w:t xml:space="preserve">Recommended Refresh</w:t>
            </w:r>
          </w:p>
          <w:p>
            <w:pPr>
              <w:jc w:val="center"/>
            </w:pPr>
            <w:r>
              <w:rPr>
                <w:b w:val="0"/>
                <w:i w:val="0"/>
                <w:color w:val="637381"/>
                <w:sz w:val="15"/>
              </w:rPr>
              <w:t xml:space="preserve">model update</w:t>
            </w:r>
          </w:p>
        </w:tc>
      </w:tr>
    </w:tbl>
    <w:p>
      <w:pPr>
        <w:pStyle w:val="Heading2"/>
      </w:pPr>
      <w:r>
        <w:t xml:space="preserve">High churn risk by segment</w:t>
      </w:r>
    </w:p>
    <w:p>
      <w:r>
        <w:drawing>
          <wp:inline xmlns:a="http://schemas.openxmlformats.org/drawingml/2006/main" xmlns:pic="http://schemas.openxmlformats.org/drawingml/2006/picture">
            <wp:extent cx="6126480" cy="3065268"/>
            <wp:docPr id="5" name="Picture 5" descr="Dört misafir segmenti için tahmini yüksek churn riski yatay sütun grafiği"/>
            <wp:cNvGraphicFramePr>
              <a:graphicFrameLocks noChangeAspect="1"/>
            </wp:cNvGraphicFramePr>
            <a:graphic>
              <a:graphicData uri="http://schemas.openxmlformats.org/drawingml/2006/picture">
                <pic:pic>
                  <pic:nvPicPr>
                    <pic:cNvPr id="0" name="05_churn_segments.png"/>
                    <pic:cNvPicPr/>
                  </pic:nvPicPr>
                  <pic:blipFill>
                    <a:blip r:embed="rId15"/>
                    <a:stretch>
                      <a:fillRect/>
                    </a:stretch>
                  </pic:blipFill>
                  <pic:spPr>
                    <a:xfrm>
                      <a:off x="0" y="0"/>
                      <a:ext cx="6126480" cy="3065268"/>
                    </a:xfrm>
                    <a:prstGeom prst="rect"/>
                  </pic:spPr>
                </pic:pic>
              </a:graphicData>
            </a:graphic>
          </wp:inline>
        </w:drawing>
      </w:r>
    </w:p>
    <w:p>
      <w:pPr>
        <w:spacing w:before="60" w:after="160"/>
        <w:jc w:val="center"/>
      </w:pPr>
      <w:r>
        <w:rPr>
          <w:b w:val="0"/>
          <w:i/>
          <w:color w:val="637381"/>
          <w:sz w:val="16"/>
        </w:rPr>
        <w:t xml:space="preserve">Figure 5. Segment-based risk rate enables prioritization instead of applying the same intervention to all guests.</w:t>
      </w:r>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 xml:space="preserve">Prioritization principle</w:t>
            </w:r>
          </w:p>
          <w:p>
            <w:pPr>
              <w:spacing w:after="0"/>
            </w:pPr>
            <w:r>
              <w:rPr>
                <w:b w:val="0"/>
                <w:i w:val="0"/>
                <w:color w:val="243442"/>
                <w:sz w:val="18"/>
              </w:rPr>
              <w:t xml:space="preserve">A high risk rate alone should not determine where the CRM budget goes. By considering customer value, win-back likelihood and the appropriate communication channel together, high-value risk groups can be addressed first.</w:t>
            </w:r>
          </w:p>
        </w:tc>
      </w:tr>
    </w:tbl>
    <w:p>
      <w:pPr>
        <w:pStyle w:val="Heading2"/>
      </w:pPr>
      <w:r>
        <w:t xml:space="preserve">Sample churn drivers</w:t>
      </w:r>
    </w:p>
    <w:p>
      <w:r>
        <w:drawing>
          <wp:inline xmlns:a="http://schemas.openxmlformats.org/drawingml/2006/main" xmlns:pic="http://schemas.openxmlformats.org/drawingml/2006/picture">
            <wp:extent cx="6263640" cy="3670133"/>
            <wp:docPr id="6" name="Picture 6" descr="Churn modelinde sekiz örnek belirleyicinin göreli önemini gösteren yatay sütun grafiği"/>
            <wp:cNvGraphicFramePr>
              <a:graphicFrameLocks noChangeAspect="1"/>
            </wp:cNvGraphicFramePr>
            <a:graphic>
              <a:graphicData uri="http://schemas.openxmlformats.org/drawingml/2006/picture">
                <pic:pic>
                  <pic:nvPicPr>
                    <pic:cNvPr id="0" name="06_churn_predictors.png"/>
                    <pic:cNvPicPr/>
                  </pic:nvPicPr>
                  <pic:blipFill>
                    <a:blip r:embed="rId16"/>
                    <a:stretch>
                      <a:fillRect/>
                    </a:stretch>
                  </pic:blipFill>
                  <pic:spPr>
                    <a:xfrm>
                      <a:off x="0" y="0"/>
                      <a:ext cx="6263640" cy="3670133"/>
                    </a:xfrm>
                    <a:prstGeom prst="rect"/>
                  </pic:spPr>
                </pic:pic>
              </a:graphicData>
            </a:graphic>
          </wp:inline>
        </w:drawing>
      </w:r>
    </w:p>
    <w:p>
      <w:pPr>
        <w:spacing w:before="60" w:after="160"/>
        <w:jc w:val="center"/>
      </w:pPr>
      <w:r>
        <w:rPr>
          <w:b w:val="0"/>
          <w:i/>
          <w:color w:val="637381"/>
          <w:sz w:val="16"/>
        </w:rPr>
        <w:t xml:space="preserve">Figure 6. Relative importance values are illustrative; in a real project they are reported after model validation and explainability analysis.</w:t>
      </w:r>
    </w:p>
    <w:tbl>
      <w:tblPr>
        <w:tblW w:type="auto" w:w="0"/>
        <w:jc w:val="center"/>
        <w:tblLook w:firstColumn="1" w:firstRow="1" w:lastColumn="0" w:lastRow="0" w:noHBand="0" w:noVBand="1" w:val="04A0"/>
      </w:tblPr>
      <w:tblGrid>
        <w:gridCol w:w="10166"/>
      </w:tblGrid>
      <w:tr>
        <w:tc>
          <w:tcPr>
            <w:tcW w:type="dxa" w:w="10166"/>
            <w:shd w:fill="F4F7F9"/>
            <w:tcMar>
              <w:top w:w="130" w:type="dxa"/>
              <w:start w:w="160" w:type="dxa"/>
              <w:bottom w:w="130" w:type="dxa"/>
              <w:end w:w="160" w:type="dxa"/>
            </w:tcMar>
            <w:tcBorders>
              <w:left w:val="single" w:sz="18" w:color="1F7A8C"/>
            </w:tcBorders>
          </w:tcPr>
          <w:p>
            <w:r>
              <w:rPr>
                <w:b/>
                <w:i w:val="0"/>
                <w:color w:val="17324D"/>
                <w:sz w:val="21"/>
              </w:rPr>
              <w:t xml:space="preserve">How can the profile breakdown be used?</w:t>
            </w:r>
          </w:p>
          <w:p>
            <w:pPr>
              <w:spacing w:after="0"/>
            </w:pPr>
            <w:r>
              <w:rPr>
                <w:b w:val="0"/>
                <w:i w:val="0"/>
                <w:color w:val="243442"/>
                <w:sz w:val="18"/>
              </w:rPr>
              <w:t xml:space="preserve">The churn rate can be examined separately across breakdowns such as market, booking channel, loyalty status and customer segment. Demographic variables such as age should not be interpreted as a management conclusion on their own; they should be evaluated together with behavioral and channel variables.</w:t>
            </w:r>
          </w:p>
        </w:tc>
      </w:tr>
    </w:tbl>
    <w:p>
      <w:pPr>
        <w:pStyle w:val="Heading1"/>
        <w:keepNext/>
        <w:pBdr>
          <w:bottom w:val="single" w:sz="16" w:space="3" w:color="D7A84B"/>
        </w:pBdr>
      </w:pPr>
      <w:r>
        <w:rPr>
          <w:b/>
          <w:color w:val="17324D"/>
        </w:rPr>
        <w:t xml:space="preserve">07. Management Action Plan</w:t>
      </w:r>
    </w:p>
    <w:p>
      <w:pPr>
        <w:spacing w:after="160"/>
      </w:pPr>
      <w:r>
        <w:rPr>
          <w:b w:val="0"/>
          <w:i/>
          <w:color w:val="637381"/>
          <w:sz w:val="19"/>
        </w:rPr>
        <w:t xml:space="preserve">Linking analytical output to measurable decisions and tracking indicators</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584"/>
            <w:shd w:fill="17324D"/>
            <w:tcMar>
              <w:top w:w="80" w:type="dxa"/>
              <w:start w:w="80" w:type="dxa"/>
              <w:bottom w:w="80" w:type="dxa"/>
              <w:end w:w="80" w:type="dxa"/>
            </w:tcMar>
            <w:vAlign w:val="center"/>
          </w:tcPr>
          <w:p>
            <w:pPr>
              <w:jc w:val="center"/>
            </w:pPr>
            <w:r>
              <w:rPr>
                <w:b/>
                <w:i w:val="0"/>
                <w:color w:val="FFFFFF"/>
                <w:sz w:val="17"/>
              </w:rPr>
              <w:t xml:space="preserve">Area</w:t>
            </w:r>
          </w:p>
        </w:tc>
        <w:tc>
          <w:tcPr>
            <w:tcW w:type="dxa" w:w="2880"/>
            <w:shd w:fill="17324D"/>
            <w:tcMar>
              <w:top w:w="80" w:type="dxa"/>
              <w:start w:w="80" w:type="dxa"/>
              <w:bottom w:w="80" w:type="dxa"/>
              <w:end w:w="80" w:type="dxa"/>
            </w:tcMar>
            <w:vAlign w:val="center"/>
          </w:tcPr>
          <w:p>
            <w:pPr>
              <w:jc w:val="center"/>
            </w:pPr>
            <w:r>
              <w:rPr>
                <w:b/>
                <w:i w:val="0"/>
                <w:color w:val="FFFFFF"/>
                <w:sz w:val="17"/>
              </w:rPr>
              <w:t xml:space="preserve">Analytical signal</w:t>
            </w:r>
          </w:p>
        </w:tc>
        <w:tc>
          <w:tcPr>
            <w:tcW w:type="dxa" w:w="3816"/>
            <w:shd w:fill="17324D"/>
            <w:tcMar>
              <w:top w:w="80" w:type="dxa"/>
              <w:start w:w="80" w:type="dxa"/>
              <w:bottom w:w="80" w:type="dxa"/>
              <w:end w:w="80" w:type="dxa"/>
            </w:tcMar>
            <w:vAlign w:val="center"/>
          </w:tcPr>
          <w:p>
            <w:pPr>
              <w:jc w:val="center"/>
            </w:pPr>
            <w:r>
              <w:rPr>
                <w:b/>
                <w:i w:val="0"/>
                <w:color w:val="FFFFFF"/>
                <w:sz w:val="17"/>
              </w:rPr>
              <w:t xml:space="preserve">Recommended action</w:t>
            </w:r>
          </w:p>
        </w:tc>
        <w:tc>
          <w:tcPr>
            <w:tcW w:type="dxa" w:w="1944"/>
            <w:shd w:fill="17324D"/>
            <w:tcMar>
              <w:top w:w="80" w:type="dxa"/>
              <w:start w:w="80" w:type="dxa"/>
              <w:bottom w:w="80" w:type="dxa"/>
              <w:end w:w="80" w:type="dxa"/>
            </w:tcMar>
            <w:vAlign w:val="center"/>
          </w:tcPr>
          <w:p>
            <w:pPr>
              <w:jc w:val="center"/>
            </w:pPr>
            <w:r>
              <w:rPr>
                <w:b/>
                <w:i w:val="0"/>
                <w:color w:val="FFFFFF"/>
                <w:sz w:val="17"/>
              </w:rPr>
              <w:t xml:space="preserve">Tracking KPI</w:t>
            </w:r>
          </w:p>
        </w:tc>
      </w:tr>
      <w:tr>
        <w:tc>
          <w:tcPr>
            <w:tcW w:type="dxa" w:w="158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Revenue Management</w:t>
            </w:r>
          </w:p>
        </w:tc>
        <w:tc>
          <w:tcPr>
            <w:tcW w:type="dxa" w:w="2880"/>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Fast booking pickup before week 6</w:t>
            </w:r>
          </w:p>
        </w:tc>
        <w:tc>
          <w:tcPr>
            <w:tcW w:type="dxa" w:w="3816"/>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Reduce discount inventory; increase rate protection by room type</w:t>
            </w:r>
          </w:p>
        </w:tc>
        <w:tc>
          <w:tcPr>
            <w:tcW w:type="dxa" w:w="194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Net ADR, RevPAR, pickup</w:t>
            </w:r>
          </w:p>
        </w:tc>
      </w:tr>
      <w:tr>
        <w:tc>
          <w:tcPr>
            <w:tcW w:type="dxa" w:w="158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Distribution</w:t>
            </w:r>
          </w:p>
        </w:tc>
        <w:tc>
          <w:tcPr>
            <w:tcW w:type="dxa" w:w="2880"/>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OTA share 44% and cancellations 16%</w:t>
            </w:r>
          </w:p>
        </w:tc>
        <w:tc>
          <w:tcPr>
            <w:tcW w:type="dxa" w:w="3816"/>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Direct web conversion and loyalty offer</w:t>
            </w:r>
          </w:p>
        </w:tc>
        <w:tc>
          <w:tcPr>
            <w:tcW w:type="dxa" w:w="194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Direct share, channel-level cancellations</w:t>
            </w:r>
          </w:p>
        </w:tc>
      </w:tr>
      <w:tr>
        <w:tc>
          <w:tcPr>
            <w:tcW w:type="dxa" w:w="158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Guest Experience</w:t>
            </w:r>
          </w:p>
        </w:tc>
        <w:tc>
          <w:tcPr>
            <w:tcW w:type="dxa" w:w="2880"/>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Check-in negativity 31%</w:t>
            </w:r>
          </w:p>
        </w:tc>
        <w:tc>
          <w:tcPr>
            <w:tcW w:type="dxa" w:w="3816"/>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Review waiting time and shift capacity</w:t>
            </w:r>
          </w:p>
        </w:tc>
        <w:tc>
          <w:tcPr>
            <w:tcW w:type="dxa" w:w="194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Check-in time, topic sentiment</w:t>
            </w:r>
          </w:p>
        </w:tc>
      </w:tr>
      <w:tr>
        <w:tc>
          <w:tcPr>
            <w:tcW w:type="dxa" w:w="158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Housekeeping</w:t>
            </w:r>
          </w:p>
        </w:tc>
        <w:tc>
          <w:tcPr>
            <w:tcW w:type="dxa" w:w="2880"/>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Room/cleanliness negativity 22%</w:t>
            </w:r>
          </w:p>
        </w:tc>
        <w:tc>
          <w:tcPr>
            <w:tcW w:type="dxa" w:w="3816"/>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Monitor quality control and recurring complaint codes</w:t>
            </w:r>
          </w:p>
        </w:tc>
        <w:tc>
          <w:tcPr>
            <w:tcW w:type="dxa" w:w="194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Cleanliness complaint rate</w:t>
            </w:r>
          </w:p>
        </w:tc>
      </w:tr>
      <w:tr>
        <w:tc>
          <w:tcPr>
            <w:tcW w:type="dxa" w:w="158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CRM</w:t>
            </w:r>
          </w:p>
        </w:tc>
        <w:tc>
          <w:tcPr>
            <w:tcW w:type="dxa" w:w="2880"/>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High churn risk 8%</w:t>
            </w:r>
          </w:p>
        </w:tc>
        <w:tc>
          <w:tcPr>
            <w:tcW w:type="dxa" w:w="3816"/>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 xml:space="preserve">Personalized win-back for the high-value risk group</w:t>
            </w:r>
          </w:p>
        </w:tc>
        <w:tc>
          <w:tcPr>
            <w:tcW w:type="dxa" w:w="194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 xml:space="preserve">Reactivation, repeat booking</w:t>
            </w:r>
          </w:p>
        </w:tc>
      </w:tr>
    </w:tbl>
    <w:p/>
    <w:tbl>
      <w:tblPr>
        <w:tblW w:type="auto" w:w="0"/>
        <w:jc w:val="center"/>
        <w:tblLook w:firstColumn="1" w:firstRow="1" w:lastColumn="0" w:lastRow="0" w:noHBand="0" w:noVBand="1" w:val="04A0"/>
      </w:tblPr>
      <w:tblGrid>
        <w:gridCol w:w="10166"/>
      </w:tblGrid>
      <w:tr>
        <w:tc>
          <w:tcPr>
            <w:tcW w:type="dxa" w:w="10166"/>
            <w:shd w:fill="EAF4F5"/>
            <w:tcMar>
              <w:top w:w="130" w:type="dxa"/>
              <w:start w:w="160" w:type="dxa"/>
              <w:bottom w:w="130" w:type="dxa"/>
              <w:end w:w="160" w:type="dxa"/>
            </w:tcMar>
            <w:tcBorders>
              <w:left w:val="single" w:sz="18" w:color="1F7A8C"/>
            </w:tcBorders>
          </w:tcPr>
          <w:p>
            <w:r>
              <w:rPr>
                <w:b/>
                <w:i w:val="0"/>
                <w:color w:val="17324D"/>
                <w:sz w:val="21"/>
              </w:rPr>
              <w:t xml:space="preserve">Sample 90-day implementation sequence</w:t>
            </w:r>
          </w:p>
          <w:p>
            <w:pPr>
              <w:spacing w:after="0"/>
            </w:pPr>
            <w:r>
              <w:rPr>
                <w:b w:val="0"/>
                <w:i w:val="0"/>
                <w:color w:val="243442"/>
                <w:sz w:val="18"/>
              </w:rPr>
              <w:t xml:space="preserve">Days 1–30: data quality control and KPI definitions.  |  Days 31–60: calibration of segment, topic-sentiment and churn models.  |  Days 61–90: monitoring selected actions through A/B or controlled pilot implementations and connecting them to the management dashboard.</w:t>
            </w:r>
          </w:p>
        </w:tc>
      </w:tr>
    </w:tbl>
    <w:p>
      <w:pPr>
        <w:pStyle w:val="Heading2"/>
      </w:pPr>
      <w:r>
        <w:t xml:space="preserve">Model and report maintenance cadence</w:t>
      </w:r>
    </w:p>
    <w:p>
      <w:pPr>
        <w:pStyle w:val="ListBullet"/>
        <w:spacing w:after="80"/>
      </w:pPr>
      <w:r>
        <w:rPr>
          <w:b w:val="0"/>
          <w:i w:val="0"/>
          <w:color w:val="243442"/>
          <w:sz w:val="19"/>
        </w:rPr>
        <w:t xml:space="preserve">Demand / occupancy forecasting: daily or weekly data refresh, with more frequent monitoring according to season intensity.</w:t>
      </w:r>
    </w:p>
    <w:p>
      <w:pPr>
        <w:pStyle w:val="ListBullet"/>
        <w:spacing w:after="80"/>
      </w:pPr>
      <w:r>
        <w:rPr>
          <w:b w:val="0"/>
          <w:i w:val="0"/>
          <w:color w:val="243442"/>
          <w:sz w:val="19"/>
        </w:rPr>
        <w:t xml:space="preserve">Topic + sentiment: weekly or monthly update depending on review volume.</w:t>
      </w:r>
    </w:p>
    <w:p>
      <w:pPr>
        <w:pStyle w:val="ListBullet"/>
        <w:spacing w:after="80"/>
      </w:pPr>
      <w:r>
        <w:rPr>
          <w:b w:val="0"/>
          <w:i w:val="0"/>
          <w:color w:val="243442"/>
          <w:sz w:val="19"/>
        </w:rPr>
        <w:t xml:space="preserve">RFM segmentation: monthly or quarterly recalculation.</w:t>
      </w:r>
    </w:p>
    <w:p>
      <w:pPr>
        <w:pStyle w:val="ListBullet"/>
        <w:spacing w:after="80"/>
      </w:pPr>
      <w:r>
        <w:rPr>
          <w:b w:val="0"/>
          <w:i w:val="0"/>
          <w:color w:val="243442"/>
          <w:sz w:val="19"/>
        </w:rPr>
        <w:t xml:space="preserve">Churn model: re-evaluation roughly every three months, together with performance tracking.</w:t>
      </w:r>
    </w:p>
    <w:p>
      <w:pPr>
        <w:pStyle w:val="Heading1"/>
        <w:keepNext/>
        <w:pBdr>
          <w:bottom w:val="single" w:sz="16" w:space="3" w:color="D7A84B"/>
        </w:pBdr>
      </w:pPr>
      <w:r>
        <w:rPr>
          <w:b/>
          <w:color w:val="17324D"/>
        </w:rPr>
        <w:t xml:space="preserve">08. Conclusion</w:t>
      </w:r>
    </w:p>
    <w:p>
      <w:pPr>
        <w:spacing w:after="160"/>
      </w:pPr>
      <w:r>
        <w:rPr>
          <w:b w:val="0"/>
          <w:i/>
          <w:color w:val="637381"/>
          <w:sz w:val="19"/>
        </w:rPr>
        <w:t xml:space="preserve">From sample report to real implementation</w:t>
      </w:r>
    </w:p>
    <w:p>
      <w:r>
        <w:rPr>
          <w:b w:val="0"/>
          <w:i w:val="0"/>
          <w:color w:val="243442"/>
          <w:sz w:val="20"/>
        </w:rPr>
        <w:t xml:space="preserve">This sample report shows how a business can combine its PMS, CRM, digital channel and online review data in a single analytical framework. In a real implementation, the data sharing protocol, data dictionary and success KPIs are defined together; the modeling process is tailored to the business's data structure and the findings are converted into an action plan.</w:t>
      </w:r>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 xml:space="preserve">The numbers in this report are not real business results</w:t>
            </w:r>
          </w:p>
          <w:p>
            <w:pPr>
              <w:spacing w:after="0"/>
            </w:pPr>
            <w:r>
              <w:rPr>
                <w:b w:val="0"/>
                <w:i w:val="0"/>
                <w:color w:val="243442"/>
                <w:sz w:val="18"/>
              </w:rPr>
              <w:t xml:space="preserve">All rates, segments, model outputs, review examples and visuals have been generated synthetically solely to illustrate the sample output format. In a real project, results are calculated using business-specific data.</w:t>
            </w:r>
          </w:p>
        </w:tc>
      </w:tr>
    </w:tbl>
    <w:p>
      <w:pPr>
        <w:spacing w:before="440"/>
        <w:jc w:val="center"/>
      </w:pPr>
      <w:r>
        <w:rPr>
          <w:b/>
          <w:i w:val="0"/>
          <w:color w:val="17324D"/>
          <w:sz w:val="22"/>
        </w:rPr>
        <w:t xml:space="preserve">TURAM  |  Big Data and Advanced Analytics Services</w:t>
      </w:r>
    </w:p>
    <w:p>
      <w:pPr>
        <w:jc w:val="center"/>
      </w:pPr>
      <w:r>
        <w:rPr>
          <w:b w:val="0"/>
          <w:i w:val="0"/>
          <w:color w:val="637381"/>
          <w:sz w:val="18"/>
        </w:rPr>
        <w:t xml:space="preserve">Sample report draft</w:t>
      </w:r>
    </w:p>
    <w:sectPr w:rsidR="00FC693F" w:rsidRPr="0006063C" w:rsidSect="00034616">
      <w:headerReference w:type="default" r:id="rId9"/>
      <w:footerReference w:type="default" r:id="rId10"/>
      <w:pgSz w:w="12240" w:h="15840"/>
      <w:pgMar w:top="893"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37381"/>
        <w:sz w:val="16"/>
      </w:rPr>
      <w:t xml:space="preserve">Report draft prepared with sample / synthetic data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i w:val="0"/>
        <w:color w:val="1F7A8C"/>
        <w:sz w:val="17"/>
      </w:rPr>
      <w:t xml:space="preserve">TURAM  |  Big Data and Advanced Analytics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44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1F7A8C"/>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Display" w:hAnsi="Aptos Display"/>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b/>
      <w:color w:val="17324D"/>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TURAM Big Data and Advanced Analytics Services - Sample Hotel Analytics Report</dc:title>
  <dc:subject>Sample analytics report prepared with synthetic data</dc:subject>
  <dc:creator>TURAM</dc:creator>
  <cp:keywords>hotel analytics, big data, churn, RFM, topic modelling, sentiment, occupancy forecasting</cp:keywords>
  <dc:description>generated by python-docx</dc:description>
  <cp:lastModifiedBy/>
  <cp:revision>1</cp:revision>
  <dcterms:created xsi:type="dcterms:W3CDTF">2013-12-23T23:15:00Z</dcterms:created>
  <dcterms:modified xsi:type="dcterms:W3CDTF">2013-12-23T23:15:00Z</dcterms:modified>
  <cp:category/>
</cp:coreProperties>
</file>