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Yalın Mutfak Verimlilik Raporu Taslağı</w:t>
      </w:r>
    </w:p>
    <w:p>
      <w:pPr/>
    </w:p>
    <w:p>
      <w:pPr>
        <w:pStyle w:val="Quote"/>
      </w:pPr>
      <w:r>
        <w:t xml:space="preserve">Bu belgedeki tüm sayılar, oranlar ve bulgular kurgusal veridir. Amaç, Yalın Mutfak Entegrasyonu hizmeti sonunda sunulan rapor formatını örneklemektir.</w:t>
      </w:r>
    </w:p>
    <w:p>
      <w:pPr>
        <w:pStyle w:val="Heading2"/>
      </w:pPr>
      <w:r>
        <w:t xml:space="preserve">Yönetici Özeti</w:t>
      </w:r>
    </w:p>
    <w:p>
      <w:pPr/>
      <w:r>
        <w:t xml:space="preserve">Analiz, mevcut israf oranının gıda maliyetinin %xx'i seviyesinde olduğunu ve önerilen süreç iyileştirmeleriyle bu oranın %xx'e indirilebileceğini öngörmektedir. Bu durumda aylık yaklaşık xx TL tasarruf potansiyeli hesaplanmıştır.</w:t>
      </w:r>
    </w:p>
    <w:p>
      <w:pPr>
        <w:pStyle w:val="Heading2"/>
      </w:pPr>
      <w:r>
        <w:t xml:space="preserve">Mevcut Durum Analizi</w:t>
      </w:r>
    </w:p>
    <w:p>
      <w:pPr/>
      <w:r>
        <w:t xml:space="preserve">Mevcut iş akışının belirlenmesi</w:t>
      </w:r>
    </w:p>
    <w:p>
      <w:pPr/>
      <w:r>
        <w:t xml:space="preserve">Aylık ortalama gıda maliyeti xx TL</w:t>
      </w:r>
    </w:p>
    <w:p>
      <w:pPr/>
      <w:r>
        <w:t xml:space="preserve">Gözlemlenen toplam israf oranı: gıda maliyetinin %xx'i (yaklaşık xx TL/ay)</w:t>
      </w:r>
    </w:p>
    <w:p>
      <w:pPr/>
      <w:r>
        <w:t xml:space="preserve">İsraf gerekçeleri: </w:t>
      </w:r>
    </w:p>
    <w:p>
      <w:pPr>
        <w:pStyle w:val="ListParagraph"/>
        <w:numPr>
          <w:ilvl w:val="0"/>
          <w:numId w:val="2"/>
        </w:numPr>
      </w:pPr>
      <w:r>
        <w:t xml:space="preserve">Hazırlık aşamasında standart porsiyon ölçülerine uyulmaması (% xx)</w:t>
      </w:r>
    </w:p>
    <w:p>
      <w:pPr>
        <w:pStyle w:val="ListParagraph"/>
        <w:numPr>
          <w:ilvl w:val="0"/>
          <w:numId w:val="2"/>
        </w:numPr>
      </w:pPr>
      <w:r>
        <w:t xml:space="preserve">Büfe kurulumunda geçmiş doluluk verisi kullanılmadan aşırı üretim yapılması (%xx)</w:t>
      </w:r>
    </w:p>
    <w:p>
      <w:pPr>
        <w:pStyle w:val="ListParagraph"/>
        <w:numPr>
          <w:ilvl w:val="0"/>
          <w:numId w:val="2"/>
        </w:numPr>
      </w:pPr>
      <w:r>
        <w:t xml:space="preserve">Son kullanma tarihi (SKT) takibinde gecikmeler ve bozulma kayıpları (%xx)</w:t>
      </w:r>
    </w:p>
    <w:p>
      <w:pPr>
        <w:pStyle w:val="ListParagraph"/>
        <w:numPr>
          <w:ilvl w:val="0"/>
          <w:numId w:val="2"/>
        </w:numPr>
      </w:pPr>
      <w:r>
        <w:t xml:space="preserve">Soğuk depo yerleşiminde FIFO (ilk giren ilk çıkar) prensibinin uygulanmaması (%xx)</w:t>
      </w:r>
    </w:p>
    <w:p>
      <w:pPr>
        <w:pStyle w:val="ListParagraph"/>
        <w:numPr>
          <w:ilvl w:val="0"/>
          <w:numId w:val="2"/>
        </w:numPr>
      </w:pPr>
      <w:r>
        <w:t xml:space="preserve">....</w:t>
      </w:r>
    </w:p>
    <w:p>
      <w:pPr>
        <w:pStyle w:val="Heading2"/>
      </w:pPr>
      <w:r>
        <w:t xml:space="preserve">İsraf Dağılımı</w:t>
      </w:r>
    </w:p>
    <w:p>
      <w:pPr/>
      <w:r>
        <w:drawing>
          <wp:inline distT="0" distB="0" distL="0" distR="0">
            <wp:extent cx="5486400" cy="2220685"/>
            <wp:docPr id="1" name="image1" descr="örnek/taslak veri · dört israf kategorisi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örnek/taslak veri · dört israf kategorisi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dört israf kategorisi</w:t>
      </w:r>
    </w:p>
    <w:p>
      <w:pPr/>
      <w:r>
        <w:t xml:space="preserve">İsraf takibi, aşama aşama değerlendirme yapılması ve ardından aşamalar için iyileştirme önerilerinde bulunulması</w:t>
      </w:r>
    </w:p>
    <w:p>
      <w:pPr>
        <w:pStyle w:val="Heading2"/>
      </w:pPr>
      <w:r>
        <w:t xml:space="preserve">İş Akışı Değerlendirmesi</w:t>
      </w:r>
    </w:p>
    <w:p>
      <w:pPr/>
      <w:r>
        <w:t xml:space="preserve">Örnek iş akışı iyileştirme önerisi:</w:t>
      </w:r>
    </w:p>
    <w:p>
      <w:pPr/>
      <w:r>
        <w:rPr>
          <w:b/>
        </w:rPr>
        <w:t xml:space="preserve">Mevcut Akış:</w:t>
      </w:r>
      <w:r>
        <w:t xml:space="preserve"> Tedarik → Standart olmayan depolama → Ölçüsüz hazırlık → Pişirme → Sabit miktarlı büfe kurulumu → Servis → Atık</w:t>
      </w:r>
    </w:p>
    <w:p>
      <w:pPr/>
      <w:r>
        <w:rPr>
          <w:b/>
        </w:rPr>
        <w:t xml:space="preserve">Önerilen Akış:</w:t>
      </w:r>
      <w:r>
        <w:t xml:space="preserve"> Tedarik → FIFO depolama ve etiketleme → Standart reçete/porsiyon kartları → Talep tahminine dayalı üretim planı → Pişirme → Dinamik büfe yenileme → Servis → Atık takibi ve geri bildirim döngüsü</w:t>
      </w:r>
    </w:p>
    <w:p>
      <w:pPr/>
      <w:r>
        <w:drawing>
          <wp:inline distT="0" distB="0" distL="0" distR="0">
            <wp:extent cx="5486400" cy="1861457"/>
            <wp:docPr id="2" name="image2" descr="akış şeması · 6 aşama, mevcut ve önerilen karşılaştırması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akış şeması · 6 aşama, mevcut ve önerilen karşılaştırması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akış şeması · 6 aşama, mevcut ve önerilen karşılaştırması</w:t>
      </w:r>
    </w:p>
    <w:p>
      <w:pPr>
        <w:pStyle w:val="Heading2"/>
      </w:pPr>
      <w:r>
        <w:t xml:space="preserve">İyileştirme Önerileri ve Öngörülen Tasarruf</w:t>
      </w:r>
    </w:p>
    <w:p>
      <w:pPr/>
      <w:r>
        <w:t xml:space="preserve">Örnek iyileştirme önerileri:</w:t>
      </w:r>
    </w:p>
    <w:p>
      <w:pPr>
        <w:pStyle w:val="ListParagraph"/>
        <w:numPr>
          <w:ilvl w:val="0"/>
          <w:numId w:val="3"/>
        </w:numPr>
      </w:pPr>
      <w:r>
        <w:t xml:space="preserve">Standart porsiyon kartları ve dijital reçete yönetimi sisteminin devreye alınması.</w:t>
      </w:r>
    </w:p>
    <w:p>
      <w:pPr>
        <w:pStyle w:val="ListParagraph"/>
        <w:numPr>
          <w:ilvl w:val="0"/>
          <w:numId w:val="3"/>
        </w:numPr>
      </w:pPr>
      <w:r>
        <w:t xml:space="preserve">Büfe kurulumunda geçmiş doluluk verilerine dayalı dinamik üretim planlamasına geçilmesi.</w:t>
      </w:r>
    </w:p>
    <w:p>
      <w:pPr>
        <w:pStyle w:val="ListParagraph"/>
        <w:numPr>
          <w:ilvl w:val="0"/>
          <w:numId w:val="3"/>
        </w:numPr>
      </w:pPr>
      <w:r>
        <w:t xml:space="preserve">Soğuk ve kuru depoların FIFO prensibine göre yeniden düzenlenmesi ve renkli etiketleme sistemi uygulanması.</w:t>
      </w:r>
    </w:p>
    <w:p>
      <w:pPr>
        <w:pStyle w:val="ListParagraph"/>
        <w:numPr>
          <w:ilvl w:val="0"/>
          <w:numId w:val="3"/>
        </w:numPr>
      </w:pPr>
      <w:r>
        <w:t xml:space="preserve">Günlük atık takip formu ve haftalık israf raporlama döngüsünün kurulması.</w:t>
      </w:r>
    </w:p>
    <w:p>
      <w:pPr>
        <w:pStyle w:val="ListParagraph"/>
        <w:numPr>
          <w:ilvl w:val="0"/>
          <w:numId w:val="3"/>
        </w:numPr>
      </w:pPr>
      <w:r>
        <w:t xml:space="preserve">Mutfak personeline yalın üretim ve israf bilinci konusunda 3 aylık periyotlarla tazeleme eğitimi verilmesi.</w:t>
      </w:r>
    </w:p>
    <w:p>
      <w:pPr>
        <w:pStyle w:val="ListParagraph"/>
        <w:numPr>
          <w:ilvl w:val="0"/>
          <w:numId w:val="3"/>
        </w:numPr>
      </w:pPr>
      <w:r>
        <w:t xml:space="preserve">.....</w:t>
      </w:r>
    </w:p>
    <w:p>
      <w:pPr/>
      <w:r>
        <w:t xml:space="preserve">Yukarıdaki öneriler aşama aşama (faz faz) hayata geçirilecek şekilde planlanabilir; aşağıdaki taslak tablo örnek bir uygulama takvimini göstermektedir.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Faz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Dönem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Öneriler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Beklenen Etki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Faz 1</w:t>
            </w:r>
          </w:p>
        </w:tc>
        <w:tc>
          <w:tcPr>
            <w:tcW w:w="2340" w:type="dxa"/>
          </w:tcPr>
          <w:p>
            <w:pPr/>
            <w:r>
              <w:t xml:space="preserve">0-1. Ay</w:t>
            </w:r>
          </w:p>
        </w:tc>
        <w:tc>
          <w:tcPr>
            <w:tcW w:w="2340" w:type="dxa"/>
          </w:tcPr>
          <w:p>
            <w:pPr/>
            <w:r>
              <w:t xml:space="preserve">Standart porsiyon kartları ve dijital reçete sistemi; günlük atık takip formu</w:t>
            </w:r>
          </w:p>
        </w:tc>
        <w:tc>
          <w:tcPr>
            <w:tcW w:w="2340" w:type="dxa"/>
          </w:tcPr>
          <w:p>
            <w:pPr/>
            <w:r>
              <w:t xml:space="preserve">Hızlı, düşük maliyetli, hemen ölçülebilir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Faz 2</w:t>
            </w:r>
          </w:p>
        </w:tc>
        <w:tc>
          <w:tcPr>
            <w:tcW w:w="2340" w:type="dxa"/>
          </w:tcPr>
          <w:p>
            <w:pPr/>
            <w:r>
              <w:t xml:space="preserve">1-3. Ay</w:t>
            </w:r>
          </w:p>
        </w:tc>
        <w:tc>
          <w:tcPr>
            <w:tcW w:w="2340" w:type="dxa"/>
          </w:tcPr>
          <w:p>
            <w:pPr/>
            <w:r>
              <w:t xml:space="preserve">FIFO depolama ve etiketleme; haftalık israf raporlama döngüsü</w:t>
            </w:r>
          </w:p>
        </w:tc>
        <w:tc>
          <w:tcPr>
            <w:tcW w:w="2340" w:type="dxa"/>
          </w:tcPr>
          <w:p>
            <w:pPr/>
            <w:r>
              <w:t xml:space="preserve">Süreç disiplini, orta vadeli etki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Faz 3</w:t>
            </w:r>
          </w:p>
        </w:tc>
        <w:tc>
          <w:tcPr>
            <w:tcW w:w="2340" w:type="dxa"/>
          </w:tcPr>
          <w:p>
            <w:pPr/>
            <w:r>
              <w:t xml:space="preserve">3-6. Ay</w:t>
            </w:r>
          </w:p>
        </w:tc>
        <w:tc>
          <w:tcPr>
            <w:tcW w:w="2340" w:type="dxa"/>
          </w:tcPr>
          <w:p>
            <w:pPr/>
            <w:r>
              <w:t xml:space="preserve">Doluluk verisine dayalı dinamik üretim planlaması; 3 aylık periyotlarla personel eğitimi</w:t>
            </w:r>
          </w:p>
        </w:tc>
        <w:tc>
          <w:tcPr>
            <w:tcW w:w="2340" w:type="dxa"/>
          </w:tcPr>
          <w:p>
            <w:pPr/>
            <w:r>
              <w:t xml:space="preserve">Kalıcı davranış değişikliği, kümülatif tasarruf</w:t>
            </w:r>
          </w:p>
        </w:tc>
      </w:tr>
    </w:tbl>
    <w:p>
      <w:pPr/>
      <w:r>
        <w:drawing>
          <wp:inline distT="0" distB="0" distL="0" distR="0">
            <wp:extent cx="5486400" cy="2359478"/>
            <wp:docPr id="3" name="image3" descr="örnek/taslak veri · 6 aylık projeksiyon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örnek/taslak veri · 6 aylık projeksiyo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6 aylık projeksiyon</w:t>
      </w:r>
    </w:p>
    <w:p>
      <w:pPr/>
    </w:p>
    <w:p>
      <w:pPr/>
      <w:r>
        <w:t xml:space="preserve">Örneğin: Önerilen iyileştirmelerle israf oranının 5 ay içinde hedeflenen %11,5 seviyesine inmesi beklenmektedir; bu da aylık ~46.000 TL, yıllık ~555.000 TL tasarrufa karşılık gelmektedir.</w:t>
      </w:r>
    </w:p>
    <w:p>
      <w:pPr>
        <w:pStyle w:val="Heading2"/>
      </w:pPr>
      <w:r>
        <w:t xml:space="preserve">Sonuç</w:t>
      </w:r>
    </w:p>
    <w:p>
      <w:pPr/>
      <w:r>
        <w:t xml:space="preserve">Bu taslak, gerçek analiz sürecinde işletmenin kendi verileriyle (POS, depo, reçete ve personel kayıtları) doldurulacak çerçeveyi örneklemektedir. Gerçek uygulamada veri toplama süreci genellikle 4-6 haftalık bir gözlem dönemiyle başlar ve bulgular, işletmeye özgü bir eylem planına dönüştürülerek raporlanır. Eylem planı kısa, orta ve uzun vadeyi kapsayacak şekilde planlanır.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Yalın Mutfak Verimlilik Raporu Taslağı</dc:title>
  <dc:description>Claude Docs node/00122c86-723c@324 docx-w6</dc:description>
  <cp:revision>324</cp:revision>
</cp:coreProperties>
</file>